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rFonts w:ascii="Times New Roman" w:hAnsi="Times New Roman" w:cs="Times New Roman"/>
          <w:b/>
          <w:b/>
          <w:sz w:val="32"/>
          <w:szCs w:val="32"/>
        </w:rPr>
      </w:pPr>
      <w:r>
        <w:rPr>
          <w:rFonts w:cs="Times New Roman" w:ascii="Times New Roman" w:hAnsi="Times New Roman"/>
          <w:b/>
          <w:sz w:val="32"/>
          <w:szCs w:val="32"/>
        </w:rPr>
        <w:t>Wie viel Zeit braucht die Kunst?</w:t>
      </w:r>
    </w:p>
    <w:p>
      <w:pPr>
        <w:pStyle w:val="Normal"/>
        <w:jc w:val="center"/>
        <w:rPr>
          <w:rFonts w:ascii="Times New Roman" w:hAnsi="Times New Roman" w:cs="Times New Roman"/>
          <w:b/>
          <w:b/>
          <w:sz w:val="24"/>
          <w:szCs w:val="24"/>
        </w:rPr>
      </w:pPr>
      <w:r>
        <w:rPr>
          <w:rFonts w:cs="Times New Roman" w:ascii="Times New Roman" w:hAnsi="Times New Roman"/>
          <w:b/>
          <w:sz w:val="24"/>
          <w:szCs w:val="24"/>
        </w:rPr>
        <w:t>Zwischen Abstraktion und Attention</w:t>
      </w:r>
    </w:p>
    <w:p>
      <w:pPr>
        <w:pStyle w:val="Normal"/>
        <w:jc w:val="center"/>
        <w:rPr>
          <w:rFonts w:ascii="Times New Roman" w:hAnsi="Times New Roman" w:cs="Times New Roman"/>
          <w:sz w:val="24"/>
          <w:szCs w:val="24"/>
        </w:rPr>
      </w:pPr>
      <w:r>
        <w:rPr>
          <w:rFonts w:cs="Times New Roman" w:ascii="Times New Roman" w:hAnsi="Times New Roman"/>
          <w:sz w:val="24"/>
          <w:szCs w:val="24"/>
        </w:rPr>
      </w:r>
    </w:p>
    <w:p>
      <w:pPr>
        <w:pStyle w:val="Normal"/>
        <w:rPr>
          <w:rFonts w:ascii="Times New Roman" w:hAnsi="Times New Roman" w:cs="Times New Roman"/>
          <w:sz w:val="24"/>
          <w:szCs w:val="24"/>
        </w:rPr>
      </w:pPr>
      <w:r>
        <w:rPr>
          <w:rFonts w:cs="Times New Roman" w:ascii="Times New Roman" w:hAnsi="Times New Roman"/>
          <w:sz w:val="24"/>
          <w:szCs w:val="24"/>
        </w:rPr>
        <w:t xml:space="preserve">Die Kunst braucht alle Zeit der Welt. Jedenfalls liegt diese Antwort in der Konsequenz von Immanuel Kants </w:t>
      </w:r>
      <w:r>
        <w:rPr>
          <w:rFonts w:cs="Times New Roman" w:ascii="Times New Roman" w:hAnsi="Times New Roman"/>
          <w:i/>
          <w:sz w:val="24"/>
          <w:szCs w:val="24"/>
        </w:rPr>
        <w:t>Kritik der Urteilskraft</w:t>
      </w:r>
      <w:r>
        <w:rPr>
          <w:rFonts w:cs="Times New Roman" w:ascii="Times New Roman" w:hAnsi="Times New Roman"/>
          <w:sz w:val="24"/>
          <w:szCs w:val="24"/>
        </w:rPr>
        <w:t>. Danach gehört die Kunst nämlich nicht zur „bestimmenden Urteilskraft“ wie die Wissenschaften, insofern diese ein Besonderes unter ein Allgemeines einordnen, etwa unter ein Naturgesetz. Vielmehr gehört sie zur „reflektierenden Urteilskraft“, die im Besonderen ein Allgemeines immer erst sucht. Und diese suchende Reflexion findet kein definitives Ende, ist somit im Prinzip unendlich. Praktisch heißt das: Man wird mit der Kunst und auch mit einem einzelnen Kunstwerk niemals fertig. Das mögen „Perfektionisten“ bedauern; andere sehen darin einen besonderen Wert.</w:t>
      </w:r>
    </w:p>
    <w:p>
      <w:pPr>
        <w:pStyle w:val="Normal"/>
        <w:rPr>
          <w:rFonts w:ascii="Times New Roman" w:hAnsi="Times New Roman" w:cs="Times New Roman"/>
          <w:sz w:val="24"/>
          <w:szCs w:val="24"/>
        </w:rPr>
      </w:pPr>
      <w:r>
        <w:rPr>
          <w:rFonts w:cs="Times New Roman" w:ascii="Times New Roman" w:hAnsi="Times New Roman"/>
          <w:sz w:val="24"/>
          <w:szCs w:val="24"/>
        </w:rPr>
        <w:t>Gleichwohl mag man mit Fausts Famulus Wagner seufzen: „Ach Gott! Die Kunst ist lang, / Und kurz ist unser Leben.“ oder wer es lieber lateinisch mag: „Vita brevis, ars longa.“ Die Formel geht auf Hippokrates zurück und meinte eigentlich die Heilkunst. Führt das weg vom Thema? So scheint es; denn der lateinische Begriff „ars“ oder gar der entsprechende griechische Begriff „téchne“ sind nicht gerade das, was man heute mit Kunst meint. Sie stehen den Wissenschaften, vielleicht gar der Technik, näher als den „</w:t>
      </w:r>
      <w:r>
        <w:rPr>
          <w:rFonts w:cs="Times New Roman" w:ascii="Times New Roman" w:hAnsi="Times New Roman"/>
          <w:sz w:val="24"/>
          <w:szCs w:val="24"/>
        </w:rPr>
        <w:t>S</w:t>
      </w:r>
      <w:r>
        <w:rPr>
          <w:rFonts w:cs="Times New Roman" w:ascii="Times New Roman" w:hAnsi="Times New Roman"/>
          <w:sz w:val="24"/>
          <w:szCs w:val="24"/>
        </w:rPr>
        <w:t>chönen Künsten“. Und noch Goethes Wagner denkt bei „Kunst“ nicht eigentlich an diese, sondern vor allem an philologische Gelehrsamkeit. Auch die braucht viel Zeit, oft mehr als eine Lebensspanne. Und ist sie jemals perfekt und zu beenden? Ist die Wissenschaft jemals zu beenden? Francis Bacon scheint das geglaubt zu haben, obschon er das neuzeitliche Wissenschaftsprojekt, das definitive Aufdecken von allgemeinen Naturgesetzen, weit über seine Lebenszeit hinaus angelegt hatte. Auch noch im 18. und 19. Jahrhundert mag man daran geglaubt haben. Heute dagegen ist alles ins Fließen geraten, nicht nur die Kunst, und braucht eine schier uferlose Zeit, ohne Aussicht auf Vollendung.</w:t>
      </w:r>
    </w:p>
    <w:p>
      <w:pPr>
        <w:pStyle w:val="Normal"/>
        <w:rPr>
          <w:rFonts w:ascii="Times New Roman" w:hAnsi="Times New Roman" w:cs="Times New Roman"/>
          <w:sz w:val="24"/>
          <w:szCs w:val="24"/>
        </w:rPr>
      </w:pPr>
      <w:r>
        <w:rPr>
          <w:rFonts w:cs="Times New Roman" w:ascii="Times New Roman" w:hAnsi="Times New Roman"/>
          <w:sz w:val="24"/>
          <w:szCs w:val="24"/>
        </w:rPr>
        <w:t>Aber so neu ist das auch wieder nicht. Bereits die folgenreiche Fluxus-Bewegung seit den 1960er Jahre wendete die Uferlosigkeit ins Positive, indem sie die Einheit von Kunst und Leben beschwor und die Abschottung der Kunst als „Werk“ aufhob. – Hatten nicht schon die Jenaer Romantiker etwas dergleichen im Sinn? Und, allgemeiner betrachtet, auch schon das „panta rhei“ Heraklits?</w:t>
      </w:r>
    </w:p>
    <w:p>
      <w:pPr>
        <w:pStyle w:val="Normal"/>
        <w:rPr>
          <w:rFonts w:ascii="Times New Roman" w:hAnsi="Times New Roman" w:cs="Times New Roman"/>
          <w:sz w:val="24"/>
          <w:szCs w:val="24"/>
        </w:rPr>
      </w:pPr>
      <w:r>
        <w:rPr>
          <w:rFonts w:cs="Times New Roman" w:ascii="Times New Roman" w:hAnsi="Times New Roman"/>
          <w:sz w:val="24"/>
          <w:szCs w:val="24"/>
        </w:rPr>
        <w:t xml:space="preserve">Durch die „Verflüssigung“ der Kunst geht dieselbe noch nicht zwangsläufig „den Bach runter“. Sie muss nur möglichst stetig nachfließen. Was die Frage nach der Zeit betrifft, so ergeben sich hier zwei widersprüchliche Aspekte: Einerseits wird jeder Moment des Ganzen von Kunst und Leben werthaltig – denn „Jeder Mensch ist ein Künstler.“ (Joseph Beuys) –; andererseits geht die intensive Fokussierung auf ein bestimmtes Kunstwerk und damit dessen existentielles Gewicht verloren. Letztere Position hat Rainer Maria Rilke in den berühmten letzten Versen seines Gedichts </w:t>
      </w:r>
      <w:r>
        <w:rPr>
          <w:rFonts w:cs="Times New Roman" w:ascii="Times New Roman" w:hAnsi="Times New Roman"/>
          <w:i/>
          <w:sz w:val="24"/>
          <w:szCs w:val="24"/>
        </w:rPr>
        <w:t>Archaischer Torso Apolls</w:t>
      </w:r>
      <w:r>
        <w:rPr>
          <w:rFonts w:cs="Times New Roman" w:ascii="Times New Roman" w:hAnsi="Times New Roman"/>
          <w:sz w:val="24"/>
          <w:szCs w:val="24"/>
        </w:rPr>
        <w:t xml:space="preserve"> zugespitzt: „denn da ist keine Stelle, / die dich nicht sieht. Du mußt dein Leben ändern.“ Der Moment der Begegnung mit dem Kunstwerk kann den Betrachter existentiell treffen, ihn derart „betroffen“ machen, dass dies sein ganzes weiteres Leben ändert, womöglich gar ändern muss. Auf diese Weise wächst das Kunstwerk über sein momentanes Erscheinen hinaus zu dauernder Gültigkeit. An solche Dauer glaubt die Fluxus-Kunst nicht. Nicht von Ungefähr machte sich Beuys darüber lustig, dass viele Kunstliebhaber bereit waren, enorme Summen für seine Kunst zu bezahlen – als hielten sie damit einen dauernden Wert in Händen, quasi einen Leonardo. </w:t>
      </w:r>
    </w:p>
    <w:p>
      <w:pPr>
        <w:pStyle w:val="Normal"/>
        <w:rPr>
          <w:rFonts w:ascii="Times New Roman" w:hAnsi="Times New Roman" w:cs="Times New Roman"/>
          <w:sz w:val="24"/>
          <w:szCs w:val="24"/>
        </w:rPr>
      </w:pPr>
      <w:r>
        <w:rPr>
          <w:rFonts w:cs="Times New Roman" w:ascii="Times New Roman" w:hAnsi="Times New Roman"/>
          <w:sz w:val="24"/>
          <w:szCs w:val="24"/>
        </w:rPr>
        <w:t>Die Fluxuswirklichkeit mag durchgehend werthaltig sein, aber sie ist auch flüchtig. Statt bestimmte „prägende“ Kunsterlebnisse festzuhalten, geht es darum, im Fluss der Erlebnisse immer wieder neue, überraschende, einmalige Schaumkronen wahrzunehmen, zu erhaschen. Einen Knopf an ein Ei zu nähen, ist wahrhaft ungewöhnlich und vielleicht ein Erlebnis. Es mag einen in tiefes Nachsinnen über Passendes und Unpassendes in der Wirklichkeit führen, aber der Effekt ist nicht glaubhaft zu wiederholen oder nachzuahmen. Wer da sagt: „Das kann ich auch.“ dürfte den Sinn solcher Kunst nicht verstanden haben; er liegt in der Nicht-Imitation, fordert eher zu originärem Tun auf, nicht zum Nachahmen.</w:t>
      </w:r>
    </w:p>
    <w:p>
      <w:pPr>
        <w:pStyle w:val="Normal"/>
        <w:rPr>
          <w:rFonts w:ascii="Times New Roman" w:hAnsi="Times New Roman" w:cs="Times New Roman"/>
          <w:sz w:val="24"/>
          <w:szCs w:val="24"/>
        </w:rPr>
      </w:pPr>
      <w:r>
        <w:rPr>
          <w:rFonts w:cs="Times New Roman" w:ascii="Times New Roman" w:hAnsi="Times New Roman"/>
          <w:sz w:val="24"/>
          <w:szCs w:val="24"/>
        </w:rPr>
        <w:t xml:space="preserve">Eine Konsequenz der Fluxus-Bewegung ist die heute angesagte „Eventkunst“, ja überhaupt das starke Bedürfnis nach Events. Da die Kunst keine bleibenden Ereignisse mehr verspricht und vor allem die Rezipienten sie nicht mehr erwarten, versucht man, aus der Flüchtigkeit eine Tugend zu machen. Die Ereignisse sind nun singulär, „einmalig“, übrigens ein Wort, das sich inzwischen von einem neutralen Begriff weitgehend in Richtung „hervorragend“ bewegt hat. Sollte an der Einmaligkeit noch etwas Bedauerliches haften, so versucht man, es durch Verdichtung des Momentanen zu kompensieren. Für diese Verdichtung werden in der Regel multimediale Mittel eingesetzt. Manche Kunstrichtungen, z.B. die Popmusik, bestehen inzwischen regelrecht aus „Multimedia“. Es kommt da in erster Linie weder auf die Musik noch auf die gesungenen Texte als solche an, vielmehr auf die ganze „Show“ oder „Performance“, einschließlich des euphorisierten Publikums, was den besonderen „Hype“ ausmacht. Damit fließt die Kunst ins Leben, aus dem sie früher  herausgehoben war, zurück, nicht zuletzt zugunsten des kommerziellen Kunstbetriebs, der nun weniger speziellen ästhetischen als vielmehr allgemeinen Lebensbedürfnissen folgt. In der ursprünglichen Idee des Fluxus hätte der Kunstbetrieb dagegen durchaus im Fluss untergehen können. Überhaupt passen Institutionen schlecht zu einer Fließbewegung, auch die reguläre staatliche Kunstförderung nicht. </w:t>
      </w:r>
    </w:p>
    <w:p>
      <w:pPr>
        <w:pStyle w:val="Normal"/>
        <w:rPr>
          <w:rFonts w:ascii="Times New Roman" w:hAnsi="Times New Roman" w:cs="Times New Roman"/>
          <w:sz w:val="24"/>
          <w:szCs w:val="24"/>
        </w:rPr>
      </w:pPr>
      <w:r>
        <w:rPr>
          <w:rFonts w:cs="Times New Roman" w:ascii="Times New Roman" w:hAnsi="Times New Roman"/>
          <w:sz w:val="24"/>
          <w:szCs w:val="24"/>
        </w:rPr>
        <w:t>Dass ein Event einen momentan starken Effekt hat, dann aber bald zugunsten eines weiteren Events vergessen oder zumindest weggeschoben wird, entspricht dem gegenwärtigen Zeitgefühl. Es ist auch insofern „gegenwärtig“, als die Vergangenheit und ebenfalls die Zukunft darin fast keine Rolle mehr spielen. Dies wird kaum als Verlust erlebt; vielmehr ist Gegenwärtigkeit oder Präsent-sein, anders gesagt: Up-to-date-sein, eine zentrale Tugend geworden. Man erinnere sich vergleichsweise, in welchem Ausmaß „traditionelle“ Kunstwerke, sowohl in der Bildenden Kunst als auch in der Dichtung und der Musik, vielschichtig mit der Vergangenheit verbunden waren. Inhaltlich stieß man ständig auf mythologische, biblische und andere historische Anspielungen, formal ging es immerzu um eine Auseinandersetzung mit bisherigen Formen und um zukunftsträchtige Innovationen. Erst der Impressionismus hat in seiner L’art pour l’art-Ästhetik zumindest mit Ersterem aufgeräumt. Das hatte auch einen deutlichen sozialen Effekt: Ab jetzt konnte auch ein historisch ungebildeter Kunstliebhaber mit der neuen Kunst, die „nur fürs Auge gemacht“ war, etwas anfangen, ein nicht zu unterschätzender Aspekt der Beliebtheit impressionistischer Malerei bis heute.</w:t>
      </w:r>
    </w:p>
    <w:p>
      <w:pPr>
        <w:pStyle w:val="Normal"/>
        <w:rPr>
          <w:rFonts w:ascii="Times New Roman" w:hAnsi="Times New Roman" w:cs="Times New Roman"/>
          <w:sz w:val="24"/>
          <w:szCs w:val="24"/>
        </w:rPr>
      </w:pPr>
      <w:r>
        <w:rPr>
          <w:rFonts w:cs="Times New Roman" w:ascii="Times New Roman" w:hAnsi="Times New Roman"/>
          <w:sz w:val="24"/>
          <w:szCs w:val="24"/>
        </w:rPr>
        <w:t>Der Bruch mit der Tradition, also überhaupt mit der Vergangenheitsdimension, ist in allen Künsten schon während des frühen 20. Jahrhunderts extrem geworden. Man denke nur an die Abstrakte, ja an die Ungegenständliche Kunst, an Wassily Kandinsky oder Piet Mondrian, oder an den Dadaismus bis hin zum Absurden Theater eines Samuel Beckett, auch an den individualisierten Modern Dance im Vergleich zum normierten klassischen Ballett.</w:t>
      </w:r>
    </w:p>
    <w:p>
      <w:pPr>
        <w:pStyle w:val="Normal"/>
        <w:rPr>
          <w:rFonts w:ascii="Times New Roman" w:hAnsi="Times New Roman" w:cs="Times New Roman"/>
          <w:sz w:val="24"/>
          <w:szCs w:val="24"/>
        </w:rPr>
      </w:pPr>
      <w:r>
        <w:rPr>
          <w:rFonts w:cs="Times New Roman" w:ascii="Times New Roman" w:hAnsi="Times New Roman"/>
          <w:sz w:val="24"/>
          <w:szCs w:val="24"/>
        </w:rPr>
        <w:t xml:space="preserve">In der Musik ist der Traditionsbruch vielleicht am fundamentalsten, vor allem in der von Arnold Schönberg zunächst propagierten freien Atonalität und dann in der Dodekaphonie und der Seriellen Musik. Die Musik wurde hier nicht nur </w:t>
      </w:r>
      <w:r>
        <w:rPr>
          <w:rFonts w:cs="Times New Roman" w:ascii="Times New Roman" w:hAnsi="Times New Roman"/>
          <w:i/>
          <w:sz w:val="24"/>
          <w:szCs w:val="24"/>
        </w:rPr>
        <w:t>stilistisch</w:t>
      </w:r>
      <w:r>
        <w:rPr>
          <w:rFonts w:cs="Times New Roman" w:ascii="Times New Roman" w:hAnsi="Times New Roman"/>
          <w:sz w:val="24"/>
          <w:szCs w:val="24"/>
        </w:rPr>
        <w:t xml:space="preserve"> neu orientiert – das zunächst gar nicht einmal so sehr –, vielmehr in ihrem grundlegenden Material auf eine neue Basis gestellt. Nicht mehr die Hierarchie der Naturtonreihe und der entsprechend proportionierten Intervalle sollte die Musikklänge fundieren, sondern die freie Tonwahl des Komponisten, die sich in der Dodekaphonie nur noch an der Statistik statt an der Naturordnung orientiert. Bei dieser „Demokratisierung“ des Klanglichen war der Schritt vom (immer noch </w:t>
      </w:r>
      <w:r>
        <w:rPr>
          <w:rFonts w:cs="Times New Roman" w:ascii="Times New Roman" w:hAnsi="Times New Roman"/>
          <w:i/>
          <w:sz w:val="24"/>
          <w:szCs w:val="24"/>
        </w:rPr>
        <w:t>in</w:t>
      </w:r>
      <w:r>
        <w:rPr>
          <w:rFonts w:cs="Times New Roman" w:ascii="Times New Roman" w:hAnsi="Times New Roman"/>
          <w:sz w:val="24"/>
          <w:szCs w:val="24"/>
        </w:rPr>
        <w:t xml:space="preserve"> sich hierarchischen) Ton zum Geräusch nicht weit, zum Beispiel in der Musique concrète oder in der Musik eines John Cage, bei dem nun, anders als in Kompositionen der Zweiten Wiener Schule, auch die „architektonische“ Form der Musik nicht mehr an irgendwelche Traditionen erinnert. Es ist alles gegenwärtig geworden, ja punktuell. Zweifellos hat die Musik durch diese Veränderungen objektiv enorm an Spannbreite der Möglichkeiten gewonnen – und zugleich in breiten Kreisen des Publikums an Boden verloren, wie wohl keine andere Kunst. Das Publikum zeigt(e) sich mehrheitlich überfordert und unwillig, den neuen Wegen zu folgen. Die breite Etablierung der Rock- und </w:t>
      </w:r>
      <w:r>
        <w:rPr>
          <w:rFonts w:cs="Times New Roman" w:ascii="Times New Roman" w:hAnsi="Times New Roman"/>
          <w:sz w:val="24"/>
          <w:szCs w:val="24"/>
        </w:rPr>
        <w:t xml:space="preserve">der </w:t>
      </w:r>
      <w:r>
        <w:rPr>
          <w:rFonts w:cs="Times New Roman" w:ascii="Times New Roman" w:hAnsi="Times New Roman"/>
          <w:sz w:val="24"/>
          <w:szCs w:val="24"/>
        </w:rPr>
        <w:t>Popmusik, die in vieler Hinsicht, vor allem harmonisch, melodisch und formal, auf bekannte Muster zurückgreifen, war als gegenläufige Alternative und zeitgemäße Regressionsform (auch wenn sie sich in der Performance oft rebellisch gibt) unausweichlich.</w:t>
      </w:r>
    </w:p>
    <w:p>
      <w:pPr>
        <w:pStyle w:val="Normal"/>
        <w:rPr>
          <w:rFonts w:ascii="Times New Roman" w:hAnsi="Times New Roman" w:cs="Times New Roman"/>
          <w:sz w:val="24"/>
          <w:szCs w:val="24"/>
        </w:rPr>
      </w:pPr>
      <w:r>
        <w:rPr>
          <w:rFonts w:cs="Times New Roman" w:ascii="Times New Roman" w:hAnsi="Times New Roman"/>
          <w:sz w:val="24"/>
          <w:szCs w:val="24"/>
        </w:rPr>
        <w:t>Im Vergleich zur avantgardistischen „E-Musik“ mag die Popmusik in mancher Hinsicht „zurückgeblieben“ sein; damit ist sie aber keineswegs stärker historisch orientiert oder in diesem Sinne vielschichtiger. In beiden Musikrichtungen, so verschieden sie sonst sind, dominiert vielmehr der Kult der Gegenwärtigkeit. Dies ist in der heutigen Gesellschaft auch nicht anders zu erwarten. Denn die Dimension des Vergangenen wird allgemein von Jahr zu Jahr obsoleter. Was aber die alte Generation (der sogenannten 68er) noch mehr wundert: Auch um die Dimension der Zukunft wird es immer stiller, offenbar aus der allgemein grassierenden „Angst vor der Zukunft“; ästhetische Zukunftsvisionen scheinen von gestern zu sein. An beider Stelle ist die Dimension des Fiktiven, des Cyberspace, getreten, das per Handy auf Schritt und Tritt abgerufen werden kann und tatsächlich oft abgerufen wird. Solche Flucht aus der Wirklichkeit, jedenfalls aus der unmittelbaren Gegenwart, steht in einem eigenartigen Widerspruch zur Affirmation des Gegenwärtigen.</w:t>
      </w:r>
    </w:p>
    <w:p>
      <w:pPr>
        <w:pStyle w:val="Normal"/>
        <w:rPr>
          <w:rFonts w:ascii="Times New Roman" w:hAnsi="Times New Roman" w:cs="Times New Roman"/>
          <w:sz w:val="24"/>
          <w:szCs w:val="24"/>
        </w:rPr>
      </w:pPr>
      <w:r>
        <w:rPr>
          <w:rFonts w:cs="Times New Roman" w:ascii="Times New Roman" w:hAnsi="Times New Roman"/>
          <w:sz w:val="24"/>
          <w:szCs w:val="24"/>
        </w:rPr>
        <w:t>Aber hatte nicht gerade Kunst schon immer einen Zug von kompensatorischem Eskapismus? Einer der prominentesten Vertreter dieses Vorwurfs war Jean-Jacques Rousseau. Er hielt Kultur für eine Kompensation ungelöster Probleme. Man weine sich in der fiktiven Theatertragödie aus, um so die Tragödien des realen Lebens nicht anpacken zu müssen. Der junge Friedrich Schiller sah dagegen in der Schaubühne eher eine „moralische Anstalt“ und der reife in der Kunst allgemein immerhin noch ein wirksames Instrument zur „ ästhetischen Erziehung des Menschen“, nicht unbedingt auf direktem Wege durch Vorbild und Abschreckung, sondern durch das Erlebnis der Freiheit in der Kunst: „Denn es ist das Schöne, durch welches man zu der Freiheit wandert.“ Schiller hielt diese Erziehung angesichts der Überforderung der Menschen, mit den an sich richtigen Innovationen der Französischen Revolution vernünftig umzugehen, ja angesichts ihrer unerträglichen Gräuel, für notwendig. Man kann kaum behaupten, dass er mit diesem Ansatz langfristig sehr erfolgreich war. Wer von beiden, Rousseau oder Schiller, letztlich mehr Recht hat, ist aber bis heute nicht entschieden.</w:t>
      </w:r>
    </w:p>
    <w:p>
      <w:pPr>
        <w:pStyle w:val="Normal"/>
        <w:rPr>
          <w:rFonts w:ascii="Times New Roman" w:hAnsi="Times New Roman" w:cs="Times New Roman"/>
          <w:sz w:val="24"/>
          <w:szCs w:val="24"/>
        </w:rPr>
      </w:pPr>
      <w:r>
        <w:rPr>
          <w:rFonts w:cs="Times New Roman" w:ascii="Times New Roman" w:hAnsi="Times New Roman"/>
          <w:sz w:val="24"/>
          <w:szCs w:val="24"/>
        </w:rPr>
        <w:t>Ob Flucht oder Heilung, festzustellen ist jedenfalls, dass Kunst in der gegenwärtigen Gesellschaft immer weniger Zeit und Raum hat. Das gilt nicht nur angesichts leerer werdender Kassen, die den Blick auf „notwendigere Dinge“ richten, wie den Wirtschaftsaufschwung und die militärische Aufrüstung. Schlimmer: An den Schulen und Hochschulen ist schon länger zu spüren, dass Künste und auch Kunstwissenschaften mehr und mehr für einen notfalls entbehrlichen Luxus gehalten werden. Was zählt, ist das unmittelbar Nützliche. Wie weit haben wir uns vom altgriechischen Ideal entfernt, wonach der Freie sich dadurch auszeichnet, dass er Zeit für Unnützliches hat (primär für Mathematik und Philosophie mit ihren artes liberales) – oder selbst vom Bildungsideal eines Wilhelm von Humboldt, das Schüler und Studierende als ganze Menschen im Blick hat, anstatt auf bloße Vermittlung von Fachkenntnissen fixiert zu sein!</w:t>
      </w:r>
    </w:p>
    <w:p>
      <w:pPr>
        <w:pStyle w:val="Normal"/>
        <w:rPr>
          <w:rFonts w:ascii="Times New Roman" w:hAnsi="Times New Roman" w:cs="Times New Roman"/>
          <w:sz w:val="24"/>
          <w:szCs w:val="24"/>
        </w:rPr>
      </w:pPr>
      <w:r>
        <w:rPr>
          <w:rFonts w:cs="Times New Roman" w:ascii="Times New Roman" w:hAnsi="Times New Roman"/>
          <w:sz w:val="24"/>
          <w:szCs w:val="24"/>
        </w:rPr>
        <w:t xml:space="preserve">Die Kunst steht aber nicht nur allgemein von öffentlicher Seite unter Druck. Sie leidet auch speziell unter der wachsenden „Zeitverknappung“. Die Rezipienten selbst haben immer weniger Zeit für sie, nicht unbedingt objektiv, aber gefühlt. Da ist die </w:t>
      </w:r>
      <w:r>
        <w:rPr>
          <w:rFonts w:cs="Times New Roman" w:ascii="Times New Roman" w:hAnsi="Times New Roman"/>
          <w:sz w:val="24"/>
          <w:szCs w:val="24"/>
        </w:rPr>
        <w:t>immense</w:t>
      </w:r>
      <w:r>
        <w:rPr>
          <w:rFonts w:cs="Times New Roman" w:ascii="Times New Roman" w:hAnsi="Times New Roman"/>
          <w:sz w:val="24"/>
          <w:szCs w:val="24"/>
        </w:rPr>
        <w:t xml:space="preserve"> Reizüberflutung der Moderne, die in unserer Zeit durch die allgemeine Digitalisierung und Vernetzung noch erheblich gesteigert wurde und wird. Diese zunächst als große Bereicherung gepriesene Innovation – und das kann sie tatsächlich auch sein! – zeigt zunehmend ihre Schattenseiten. Sie macht uns kurzatmiger, ja womöglich auch gleichgültiger, euphemistisch gesagt: cooler – und das gerade angesichts immer mehr entgleitender Verhältnisse.</w:t>
      </w:r>
    </w:p>
    <w:p>
      <w:pPr>
        <w:pStyle w:val="Normal"/>
        <w:rPr>
          <w:rFonts w:ascii="Times New Roman" w:hAnsi="Times New Roman" w:cs="Times New Roman"/>
          <w:sz w:val="24"/>
          <w:szCs w:val="24"/>
        </w:rPr>
      </w:pPr>
      <w:r>
        <w:rPr>
          <w:rFonts w:cs="Times New Roman" w:ascii="Times New Roman" w:hAnsi="Times New Roman"/>
          <w:sz w:val="24"/>
          <w:szCs w:val="24"/>
        </w:rPr>
        <w:t>Coolness scheint ja generell das Hauptideal unserer ganzen Epoche zu sein: selber über allem stehen und nur nichts zu wichtig nehmen. Dies aber ist der Tod der Kunst. Denn diese kann nichts so schlecht vertragen wie essentielles Unbeteiligt-sein. Kunst lebt von gesteigerter Aufmerksamkeit, nicht nur auf Seiten der Künstlerin, sondern auch auf Seiten des Rezipienten. Und dafür braucht es Ruhe und Zeit. Nur wenn Kunst einen niedrigen Anspruch hat, wenn sie etwa nicht mehr sein soll als angenehme Dekoration oder Hintergrundanimation, kann sie weitgehend darauf verzichten. Die Fluxus-Bewegung implizierte in dieser Hinsicht eine Gefahr: Durch die Verschmelzung von Kunst und Alltagswirklichkeit tendiert sie zum Beiläufigen und kann leicht als unwichtig missverstanden werden. – „Ist das Kunst oder kann das weg?“</w:t>
      </w:r>
    </w:p>
    <w:p>
      <w:pPr>
        <w:pStyle w:val="Normal"/>
        <w:rPr>
          <w:rFonts w:ascii="Times New Roman" w:hAnsi="Times New Roman" w:cs="Times New Roman"/>
          <w:sz w:val="24"/>
          <w:szCs w:val="24"/>
        </w:rPr>
      </w:pPr>
      <w:r>
        <w:rPr>
          <w:rFonts w:cs="Times New Roman" w:ascii="Times New Roman" w:hAnsi="Times New Roman"/>
          <w:sz w:val="24"/>
          <w:szCs w:val="24"/>
        </w:rPr>
        <w:t>Unwichtig wird die Kunst aber vor allem auch dadurch, dass der Rezipient von sich aus oft keine hinreichende Aufmerksamkeitsspanne mitbringt, um sich ganz auf ein Kunsterlebnis einlassen zu können. Die geringe durchschnittliche Verweildauer eines Museumsbesuchers vor einem Kunstwerk erscheint mir dabei nicht so aussagekräftig wie die Beobachtung vor allem in Schulen, dass die Aufmerksamkeitsspanne von Schülerinnen und Schülern beständig kürzer wird. Dies ist besonders für das Lesen von (möglicherweise auch noch unbebilderten) Büchern desaströs, ob nun von Schöner Literatur oder von Sachbüchern. Aber das muss nicht für jede Form von Kunst so sein; denn die kurze Zeitspanne könnte durch eine entsprechend hohe Konzentration aufgewogen werden. Für die Rezeption eines der sehr kurzen Musikwerke Anton Weberns zum Beispiel – sein gesamtes Lebenswerk soll nur dreieinhalb Stunden dauern –, braucht man wenig Zeit, aber umso mehr Konzentration, wenn man ihm einigermaßen gerecht werden will. Doch auch diese ist mittlerweile selten zu finden. Noch schwieriger ist es natürlich, ein überaus komplexes und dabei auch noch langes Werk der Avantgarde zu rezipieren oder auch nur auszuhalten. Da könnten es die Bildenden Künste besser zu haben, deren Hervorbringungen scheinbar mit einem Blick zu erfassen sind. Von echter Konzentration oder gar einer Aufmerksamkeit, in der der Rezipient die Kunst intensiv auf sich selbst bezieht (wie bei Rilke), kann dabei freilich auch keine Rede sein.</w:t>
      </w:r>
    </w:p>
    <w:p>
      <w:pPr>
        <w:pStyle w:val="Normal"/>
        <w:rPr>
          <w:rFonts w:ascii="Times New Roman" w:hAnsi="Times New Roman" w:cs="Times New Roman"/>
          <w:sz w:val="24"/>
          <w:szCs w:val="24"/>
        </w:rPr>
      </w:pPr>
      <w:r>
        <w:rPr>
          <w:rFonts w:cs="Times New Roman" w:ascii="Times New Roman" w:hAnsi="Times New Roman"/>
          <w:sz w:val="24"/>
          <w:szCs w:val="24"/>
        </w:rPr>
        <w:t>Aber hat die Kunst selbst nicht schon vor über hundert Jahren einen Ausweg gewiesen, nämlich durch die entschiedene Zuspitzung der Abstraktion, die schließlich auch eine Form der Reduktion ist? Kommt die Abstrakte Kunst und erst recht manche Werke der Ungegenständlichen Kunst, die alles Zeitliche gleichsam zusammenschnurren lassen, nicht grundsätzlich einer geringen Aufmerksamkeitsspanne entgegen, zum Beispiel das schon 1915 entstandene „Schwarze Quadrat“ von Kasimir Malewitsch? Nun, ich komme hier auf unsern Anfang mit Kant zurück, der Kunst der reflektierenden Urteilskraft zuordnete. Man könnte dazu geradewegs sagen: Je abstrakter Kunst ist, desto mehr lässt sie offen, desto mehr gibt sie Denken und Empfinden zu reflektieren. Ein Schwarzes Quadrat kann die ganze Welt und das ganze Nichts bedeuten. Und weil das nicht ausgemacht ist, braucht man sehr viel Zeit, es angemessen zu rezipieren. Dabei ist die künstlerische Abstraktion von der Rezipientin gewissermaßem wieder „rückgängig“ zu machen, zurückzuübersetzen, was keine geringe Arbeit sein dürfte.</w:t>
      </w:r>
    </w:p>
    <w:p>
      <w:pPr>
        <w:pStyle w:val="Normal"/>
        <w:rPr>
          <w:rFonts w:ascii="Times New Roman" w:hAnsi="Times New Roman" w:cs="Times New Roman"/>
          <w:sz w:val="24"/>
          <w:szCs w:val="24"/>
        </w:rPr>
      </w:pPr>
      <w:r>
        <w:rPr>
          <w:rFonts w:cs="Times New Roman" w:ascii="Times New Roman" w:hAnsi="Times New Roman"/>
          <w:sz w:val="24"/>
          <w:szCs w:val="24"/>
        </w:rPr>
        <w:t>Auf letzteren Gedanken bin ich durch Thomas Thorild verfallen, einen schwedischen Dichter und Kunstkritiker, der seine letzten 13 Lebensjahre als Philosoph (sowie Bibliothekar und Literaturprofessor) in Greifswald verbrachte und dort 1808 starb. Thorild war mit Johann Gottfried Herder befreundet und wie dieser ein entschiedener Kritiker Kants. Was ihm (mit Herder) an Kant und an den meisten Philosophen besonders missfiel, war deren Neigung zu zeitlosen „Abstractionen“. Durch sie reduziere man die Wirklichkeit in einer bedenklichen Weise. Zwar sei es nicht so, dass man durch solche begrifflich abstrahierende Reduktion gar nichts erkenne, aber man erkenne, anders als Kant und seine vielen Bewunderer glauben, nur ein Minimum. Um ein Maximum zu erkennen, bedürfe es keiner Abstraktion, sondern einer möglichst komplexen „Attention“, also einer vielfältigen und vielschichtigen Aufmerksamkeit. Dazu dienen keine apriorischen Begriffe, sondern lebendige Anschauung des Konkreten, Welterfahrung. Und die braucht Zeit, mehr Zeit als Abstraktionen.</w:t>
      </w:r>
    </w:p>
    <w:p>
      <w:pPr>
        <w:pStyle w:val="Normal"/>
        <w:rPr>
          <w:rFonts w:ascii="Times New Roman" w:hAnsi="Times New Roman" w:cs="Times New Roman"/>
          <w:sz w:val="24"/>
          <w:szCs w:val="24"/>
        </w:rPr>
      </w:pPr>
      <w:r>
        <w:rPr>
          <w:rFonts w:cs="Times New Roman" w:ascii="Times New Roman" w:hAnsi="Times New Roman"/>
          <w:sz w:val="24"/>
          <w:szCs w:val="24"/>
        </w:rPr>
        <w:t xml:space="preserve">Übrigens liegt Thorild mit seinem Kampf gegen Abstraktionen nicht nur mit Herder, sondern auch mit Goethe auf einer Linie. Allen dreien ging es, nicht nur in Kunstdingen, darum, „die Abstraktion, vor der wir uns fürchten, unschädlich“ zu machen. Im Vorwort zur </w:t>
      </w:r>
      <w:r>
        <w:rPr>
          <w:rFonts w:cs="Times New Roman" w:ascii="Times New Roman" w:hAnsi="Times New Roman"/>
          <w:i/>
          <w:sz w:val="24"/>
          <w:szCs w:val="24"/>
        </w:rPr>
        <w:t xml:space="preserve">Farbenlehre </w:t>
      </w:r>
      <w:r>
        <w:rPr>
          <w:rFonts w:cs="Times New Roman" w:ascii="Times New Roman" w:hAnsi="Times New Roman"/>
          <w:sz w:val="24"/>
          <w:szCs w:val="24"/>
        </w:rPr>
        <w:t>wendet sich Goethe allgemein gegen das abstrakte Theoretisieren, das immer wieder „mit Bewußtsein, mit Selbstkenntnis, mit Freiheit, und, um uns eines gewagten Wortes zu bedienen, mit Ironie“ eingeholt werden müsse. Das scheint mir auch oder gerade heute noch bedenkenswert zu sein, selbst für die Naturwissenschaften, gewiss aber für die Kunst und ihre Rezeption.</w:t>
      </w:r>
    </w:p>
    <w:p>
      <w:pPr>
        <w:pStyle w:val="Normal"/>
        <w:rPr>
          <w:rFonts w:ascii="Times New Roman" w:hAnsi="Times New Roman" w:cs="Times New Roman"/>
          <w:sz w:val="24"/>
          <w:szCs w:val="24"/>
        </w:rPr>
      </w:pPr>
      <w:r>
        <w:rPr>
          <w:rFonts w:cs="Times New Roman" w:ascii="Times New Roman" w:hAnsi="Times New Roman"/>
          <w:sz w:val="24"/>
          <w:szCs w:val="24"/>
        </w:rPr>
        <w:t xml:space="preserve">Und doch gibt es keine Kunst, vielleicht überhaupt kein geistiges Leben, ohne ein Moment der Abstraktion. In der Musik überwiegt das Abstrakte sogar in aller Regel das Konkrete bei Weitem. Ja, es geht in </w:t>
      </w:r>
      <w:r>
        <w:rPr>
          <w:rFonts w:cs="Times New Roman" w:ascii="Times New Roman" w:hAnsi="Times New Roman"/>
          <w:i/>
          <w:sz w:val="24"/>
          <w:szCs w:val="24"/>
        </w:rPr>
        <w:t>jedem</w:t>
      </w:r>
      <w:r>
        <w:rPr>
          <w:rFonts w:cs="Times New Roman" w:ascii="Times New Roman" w:hAnsi="Times New Roman"/>
          <w:sz w:val="24"/>
          <w:szCs w:val="24"/>
        </w:rPr>
        <w:t xml:space="preserve"> Verstehen und Urteilen um das richtige Verhältnis von Besonderem (Konkretem) und Allgemeinem (Abstraktem), sowohl bei der definitiv-bestimmenden als auch bei der offen-reflektierenden Urteilskraft. – Man kann die Kunst so als eine Vermittlung zwischen dem konkreten Leben in der Zeit und mehr oder weniger abstrakten, zeitlosen, „idealen“ Ebenen der Wirklichkeit ansehen. Für diese Vermittlung bedarf sie konzentrierter „verbindlicher“ Aufmerksamkeit, sowohl des Künstlers als auch der Rezipienten. Wichtiger als alle Zeit der Welt ist für die Kunst eben diese konzentrierte Aufmerksamkeit. Sie könnte geradezu ihr Wesen sein. – Bleibt zu hoffen, dass die Attention der Kunst nicht ganz verloren gehe; denn die Fokussierung auf Kunst fokussiert uns selbst als Menschen.</w:t>
      </w:r>
    </w:p>
    <w:p>
      <w:pPr>
        <w:pStyle w:val="Normal"/>
        <w:rPr>
          <w:rFonts w:ascii="Times New Roman" w:hAnsi="Times New Roman" w:cs="Times New Roman"/>
          <w:sz w:val="24"/>
          <w:szCs w:val="24"/>
        </w:rPr>
      </w:pPr>
      <w:r>
        <w:rPr>
          <w:rFonts w:cs="Times New Roman" w:ascii="Times New Roman" w:hAnsi="Times New Roman"/>
          <w:sz w:val="24"/>
          <w:szCs w:val="24"/>
        </w:rPr>
      </w:r>
    </w:p>
    <w:p>
      <w:pPr>
        <w:pStyle w:val="Normal"/>
        <w:rPr>
          <w:rFonts w:ascii="Times New Roman" w:hAnsi="Times New Roman" w:cs="Times New Roman"/>
          <w:sz w:val="24"/>
          <w:szCs w:val="24"/>
        </w:rPr>
      </w:pPr>
      <w:r>
        <w:rPr>
          <w:rFonts w:cs="Times New Roman" w:ascii="Times New Roman" w:hAnsi="Times New Roman"/>
          <w:sz w:val="24"/>
          <w:szCs w:val="24"/>
        </w:rPr>
        <w:tab/>
        <w:tab/>
        <w:tab/>
        <w:tab/>
        <w:tab/>
        <w:tab/>
        <w:tab/>
        <w:tab/>
        <w:tab/>
        <w:tab/>
        <w:t>(Juli 2025)</w:t>
      </w:r>
    </w:p>
    <w:p>
      <w:pPr>
        <w:pStyle w:val="Normal"/>
        <w:tabs>
          <w:tab w:val="clear" w:pos="708"/>
          <w:tab w:val="left" w:pos="426" w:leader="none"/>
        </w:tabs>
        <w:spacing w:before="0" w:after="200"/>
        <w:rPr>
          <w:rFonts w:ascii="Times New Roman" w:hAnsi="Times New Roman" w:cs="Times New Roman"/>
          <w:sz w:val="24"/>
          <w:szCs w:val="24"/>
        </w:rPr>
      </w:pPr>
      <w:r>
        <w:rPr/>
      </w:r>
      <w:bookmarkStart w:id="0" w:name="_GoBack"/>
      <w:bookmarkStart w:id="1" w:name="_GoBack"/>
      <w:bookmarkEnd w:id="1"/>
    </w:p>
    <w:sectPr>
      <w:type w:val="nextPage"/>
      <w:pgSz w:w="11906" w:h="16838"/>
      <w:pgMar w:left="1417" w:right="1417" w:gutter="0" w:header="0" w:top="1417" w:footer="0" w:bottom="1134"/>
      <w:pgNumType w:fmt="decimal"/>
      <w:formProt w:val="false"/>
      <w:textDirection w:val="lrTb"/>
      <w:docGrid w:type="default" w:linePitch="360" w:charSpace="1228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roman"/>
    <w:pitch w:val="variable"/>
  </w:font>
</w:fonts>
</file>

<file path=word/settings.xml><?xml version="1.0" encoding="utf-8"?>
<w:settings xmlns:w="http://schemas.openxmlformats.org/wordprocessingml/2006/main">
  <w:zoom w:percent="128"/>
  <w:defaultTabStop w:val="708"/>
  <w:autoHyphenation w:val="true"/>
  <w:hyphenationZone w:val="425"/>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de-DE"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de-DE"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b872a8"/>
    <w:pPr>
      <w:widowControl/>
      <w:suppressAutoHyphens w:val="tru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de-DE" w:eastAsia="en-US" w:bidi="ar-SA"/>
    </w:rPr>
  </w:style>
  <w:style w:type="character" w:styleId="DefaultParagraphFont" w:default="1">
    <w:name w:val="Default Paragraph Font"/>
    <w:uiPriority w:val="1"/>
    <w:semiHidden/>
    <w:unhideWhenUsed/>
    <w:qFormat/>
    <w:rPr/>
  </w:style>
  <w:style w:type="character" w:styleId="Internetverknpfung">
    <w:name w:val="Hyperlink"/>
    <w:basedOn w:val="DefaultParagraphFont"/>
    <w:uiPriority w:val="99"/>
    <w:semiHidden/>
    <w:unhideWhenUsed/>
    <w:rsid w:val="00577b88"/>
    <w:rPr>
      <w:color w:val="0000FF"/>
      <w:u w:val="single"/>
    </w:rPr>
  </w:style>
  <w:style w:type="paragraph" w:styleId="Berschrift" w:customStyle="1">
    <w:name w:val="Überschrift"/>
    <w:basedOn w:val="Normal"/>
    <w:next w:val="Textkrper"/>
    <w:qFormat/>
    <w:pPr>
      <w:keepNext w:val="true"/>
      <w:spacing w:before="240" w:after="120"/>
    </w:pPr>
    <w:rPr>
      <w:rFonts w:ascii="Liberation Sans" w:hAnsi="Liberation Sans" w:eastAsia="Microsoft YaHei" w:cs="Arial"/>
      <w:sz w:val="28"/>
      <w:szCs w:val="28"/>
    </w:rPr>
  </w:style>
  <w:style w:type="paragraph" w:styleId="Textkrper">
    <w:name w:val="Body Text"/>
    <w:basedOn w:val="Normal"/>
    <w:pPr>
      <w:spacing w:before="0" w:after="140"/>
    </w:pPr>
    <w:rPr/>
  </w:style>
  <w:style w:type="paragraph" w:styleId="List">
    <w:name w:val="List"/>
    <w:basedOn w:val="Textkrper"/>
    <w:pPr/>
    <w:rPr>
      <w:rFonts w:cs="Arial"/>
    </w:rPr>
  </w:style>
  <w:style w:type="paragraph" w:styleId="Beschriftung">
    <w:name w:val="Caption"/>
    <w:basedOn w:val="Normal"/>
    <w:qFormat/>
    <w:pPr>
      <w:suppressLineNumbers/>
      <w:spacing w:before="120" w:after="120"/>
    </w:pPr>
    <w:rPr>
      <w:rFonts w:cs="Arial"/>
      <w:i/>
      <w:iCs/>
      <w:sz w:val="24"/>
      <w:szCs w:val="24"/>
    </w:rPr>
  </w:style>
  <w:style w:type="paragraph" w:styleId="Verzeichnis" w:customStyle="1">
    <w:name w:val="Verzeichnis"/>
    <w:basedOn w:val="Normal"/>
    <w:qFormat/>
    <w:pPr>
      <w:suppressLineNumbers/>
    </w:pPr>
    <w:rPr>
      <w:rFonts w:cs="Arial"/>
    </w:rPr>
  </w:style>
  <w:style w:type="paragraph" w:styleId="Caption">
    <w:name w:val="caption"/>
    <w:basedOn w:val="Normal"/>
    <w:qFormat/>
    <w:pPr>
      <w:suppressLineNumbers/>
      <w:spacing w:before="120" w:after="120"/>
    </w:pPr>
    <w:rPr>
      <w:rFonts w:cs="Arial"/>
      <w:i/>
      <w:iCs/>
      <w:sz w:val="24"/>
      <w:szCs w:val="24"/>
    </w:rPr>
  </w:style>
  <w:style w:type="numbering" w:styleId="NoList" w:default="1">
    <w:name w:val="No List"/>
    <w:uiPriority w:val="99"/>
    <w:semiHidden/>
    <w:unhideWhenUsed/>
    <w:qFormat/>
  </w:style>
  <w:style w:type="table" w:default="1" w:styleId="NormaleTabelle">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Application>Edit_Docx_PLUS/7.4.0.3$Windows_X86_64 LibreOffice_project/</Application>
  <AppVersion>15.0000</AppVersion>
  <Pages>6</Pages>
  <Words>2683</Words>
  <Characters>16137</Characters>
  <CharactersWithSpaces>18824</CharactersWithSpaces>
  <Paragraphs>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2025-08-09T16:39:00Z</dcterms:created>
  <dc:creator>Peter Tenhaef</dc:creator>
  <dc:description/>
  <dc:language>de-DE</dc:language>
  <cp:lastModifiedBy/>
  <dcterms:modified xsi:type="dcterms:W3CDTF">2025-08-14T20:34:13Z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