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3488" w:rsidRPr="00033488" w:rsidRDefault="00033488" w:rsidP="00033488">
      <w:pPr>
        <w:pStyle w:val="NurText"/>
        <w:spacing w:line="360" w:lineRule="auto"/>
        <w:rPr>
          <w:rFonts w:ascii="Times New Roman" w:eastAsia="MS Mincho" w:hAnsi="Times New Roman" w:cs="Times New Roman"/>
          <w:iCs/>
          <w:sz w:val="28"/>
          <w:szCs w:val="28"/>
          <w:lang w:val="it-IT"/>
        </w:rPr>
      </w:pPr>
      <w:r w:rsidRPr="00033488">
        <w:rPr>
          <w:rFonts w:ascii="Times New Roman" w:eastAsia="MS Mincho" w:hAnsi="Times New Roman" w:cs="Times New Roman"/>
          <w:bCs/>
          <w:sz w:val="28"/>
          <w:szCs w:val="28"/>
          <w:lang w:val="it-IT"/>
        </w:rPr>
        <w:t>Abraham</w:t>
      </w:r>
      <w:r w:rsidRPr="00033488">
        <w:rPr>
          <w:rFonts w:ascii="Times New Roman" w:eastAsia="MS Mincho" w:hAnsi="Times New Roman" w:cs="Times New Roman"/>
          <w:bCs/>
          <w:sz w:val="28"/>
          <w:szCs w:val="28"/>
        </w:rPr>
        <w:t xml:space="preserve"> Megerles </w:t>
      </w:r>
      <w:r w:rsidRPr="00033488">
        <w:rPr>
          <w:rFonts w:ascii="Times New Roman" w:eastAsia="MS Mincho" w:hAnsi="Times New Roman" w:cs="Times New Roman"/>
          <w:i/>
          <w:iCs/>
          <w:sz w:val="28"/>
          <w:szCs w:val="28"/>
          <w:lang w:val="it-IT"/>
        </w:rPr>
        <w:t xml:space="preserve">Speculum Musico-Mortuale </w:t>
      </w:r>
      <w:r w:rsidRPr="00033488">
        <w:rPr>
          <w:rFonts w:ascii="Times New Roman" w:eastAsia="MS Mincho" w:hAnsi="Times New Roman" w:cs="Times New Roman"/>
          <w:iCs/>
          <w:sz w:val="28"/>
          <w:szCs w:val="28"/>
          <w:lang w:val="it-IT"/>
        </w:rPr>
        <w:t>als emblematisches Testament</w:t>
      </w:r>
    </w:p>
    <w:p w:rsidR="00033488" w:rsidRPr="00033488" w:rsidRDefault="00033488" w:rsidP="00033488">
      <w:pPr>
        <w:pStyle w:val="NurText"/>
        <w:spacing w:line="360" w:lineRule="auto"/>
        <w:ind w:firstLine="284"/>
        <w:jc w:val="center"/>
        <w:rPr>
          <w:rFonts w:ascii="Times New Roman" w:eastAsia="MS Mincho" w:hAnsi="Times New Roman" w:cs="Times New Roman"/>
          <w:i/>
          <w:iCs/>
          <w:sz w:val="36"/>
        </w:rPr>
      </w:pP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Inhalt:</w:t>
      </w: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I.    </w:t>
      </w:r>
      <w:r>
        <w:rPr>
          <w:rFonts w:ascii="Times New Roman" w:eastAsia="MS Mincho" w:hAnsi="Times New Roman" w:cs="Times New Roman"/>
          <w:sz w:val="24"/>
        </w:rPr>
        <w:tab/>
      </w:r>
      <w:r>
        <w:rPr>
          <w:rFonts w:ascii="Times New Roman" w:eastAsia="MS Mincho" w:hAnsi="Times New Roman" w:cs="Times New Roman"/>
          <w:sz w:val="24"/>
        </w:rPr>
        <w:tab/>
        <w:t>Einleitung</w:t>
      </w:r>
      <w:r>
        <w:rPr>
          <w:rFonts w:ascii="Times New Roman" w:eastAsia="MS Mincho" w:hAnsi="Times New Roman" w:cs="Times New Roman"/>
          <w:sz w:val="24"/>
        </w:rPr>
        <w:tab/>
      </w:r>
      <w:r>
        <w:rPr>
          <w:rFonts w:ascii="Times New Roman" w:eastAsia="MS Mincho" w:hAnsi="Times New Roman" w:cs="Times New Roman"/>
          <w:sz w:val="24"/>
        </w:rPr>
        <w:tab/>
      </w:r>
      <w:r>
        <w:rPr>
          <w:rFonts w:ascii="Times New Roman" w:eastAsia="MS Mincho" w:hAnsi="Times New Roman" w:cs="Times New Roman"/>
          <w:sz w:val="24"/>
        </w:rPr>
        <w:tab/>
      </w:r>
      <w:r>
        <w:rPr>
          <w:rFonts w:ascii="Times New Roman" w:eastAsia="MS Mincho" w:hAnsi="Times New Roman" w:cs="Times New Roman"/>
          <w:sz w:val="24"/>
        </w:rPr>
        <w:tab/>
      </w:r>
      <w:r>
        <w:rPr>
          <w:rFonts w:ascii="Times New Roman" w:eastAsia="MS Mincho" w:hAnsi="Times New Roman" w:cs="Times New Roman"/>
          <w:sz w:val="24"/>
        </w:rPr>
        <w:tab/>
      </w:r>
      <w:r>
        <w:rPr>
          <w:rFonts w:ascii="Times New Roman" w:eastAsia="MS Mincho" w:hAnsi="Times New Roman" w:cs="Times New Roman"/>
          <w:sz w:val="24"/>
        </w:rPr>
        <w:tab/>
      </w:r>
      <w:r>
        <w:rPr>
          <w:rFonts w:ascii="Times New Roman" w:eastAsia="MS Mincho" w:hAnsi="Times New Roman" w:cs="Times New Roman"/>
          <w:sz w:val="24"/>
        </w:rPr>
        <w:tab/>
      </w:r>
      <w:r>
        <w:rPr>
          <w:rFonts w:ascii="Times New Roman" w:eastAsia="MS Mincho" w:hAnsi="Times New Roman" w:cs="Times New Roman"/>
          <w:sz w:val="24"/>
        </w:rPr>
        <w:tab/>
      </w:r>
      <w:r>
        <w:rPr>
          <w:rFonts w:ascii="Times New Roman" w:eastAsia="MS Mincho" w:hAnsi="Times New Roman" w:cs="Times New Roman"/>
          <w:sz w:val="24"/>
        </w:rPr>
        <w:tab/>
      </w:r>
      <w:r>
        <w:rPr>
          <w:rFonts w:ascii="Times New Roman" w:eastAsia="MS Mincho" w:hAnsi="Times New Roman" w:cs="Times New Roman"/>
          <w:sz w:val="24"/>
        </w:rPr>
        <w:tab/>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II.    </w:t>
      </w:r>
      <w:r>
        <w:rPr>
          <w:rFonts w:ascii="Times New Roman" w:eastAsia="MS Mincho" w:hAnsi="Times New Roman" w:cs="Times New Roman"/>
          <w:sz w:val="24"/>
        </w:rPr>
        <w:tab/>
        <w:t>Zum Autor</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III.    </w:t>
      </w:r>
      <w:r>
        <w:rPr>
          <w:rFonts w:ascii="Times New Roman" w:eastAsia="MS Mincho" w:hAnsi="Times New Roman" w:cs="Times New Roman"/>
          <w:sz w:val="24"/>
        </w:rPr>
        <w:tab/>
        <w:t>Zu Gattung, Einflüssen und Rezeption</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IV.    </w:t>
      </w:r>
      <w:r>
        <w:rPr>
          <w:rFonts w:ascii="Times New Roman" w:eastAsia="MS Mincho" w:hAnsi="Times New Roman" w:cs="Times New Roman"/>
          <w:sz w:val="24"/>
        </w:rPr>
        <w:tab/>
        <w:t>Zu Aufbau, Sprache, Gedicht- und Bildkonzeption</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V.    </w:t>
      </w:r>
      <w:r>
        <w:rPr>
          <w:rFonts w:ascii="Times New Roman" w:eastAsia="MS Mincho" w:hAnsi="Times New Roman" w:cs="Times New Roman"/>
          <w:sz w:val="24"/>
        </w:rPr>
        <w:tab/>
        <w:t>Zu instrumentenkundlichen Aspekten</w:t>
      </w:r>
    </w:p>
    <w:p w:rsidR="00033488" w:rsidRPr="000B1423" w:rsidRDefault="00033488" w:rsidP="00033488">
      <w:pPr>
        <w:pStyle w:val="NurText"/>
        <w:spacing w:line="360" w:lineRule="auto"/>
        <w:ind w:firstLine="284"/>
        <w:jc w:val="both"/>
        <w:rPr>
          <w:rFonts w:ascii="Times New Roman" w:eastAsia="MS Mincho" w:hAnsi="Times New Roman" w:cs="Times New Roman"/>
          <w:strike/>
          <w:sz w:val="24"/>
        </w:rPr>
      </w:pPr>
      <w:r w:rsidRPr="000B1423">
        <w:rPr>
          <w:rFonts w:ascii="Times New Roman" w:eastAsia="MS Mincho" w:hAnsi="Times New Roman" w:cs="Times New Roman"/>
          <w:strike/>
          <w:sz w:val="24"/>
        </w:rPr>
        <w:t xml:space="preserve">VI.    </w:t>
      </w:r>
      <w:r w:rsidRPr="000B1423">
        <w:rPr>
          <w:rFonts w:ascii="Times New Roman" w:eastAsia="MS Mincho" w:hAnsi="Times New Roman" w:cs="Times New Roman"/>
          <w:strike/>
          <w:sz w:val="24"/>
        </w:rPr>
        <w:tab/>
        <w:t xml:space="preserve">Zu den im </w:t>
      </w:r>
      <w:r w:rsidRPr="000B1423">
        <w:rPr>
          <w:rFonts w:ascii="Times New Roman" w:eastAsia="MS Mincho" w:hAnsi="Times New Roman" w:cs="Times New Roman"/>
          <w:i/>
          <w:iCs/>
          <w:strike/>
          <w:sz w:val="24"/>
        </w:rPr>
        <w:t xml:space="preserve">Speculum </w:t>
      </w:r>
      <w:r w:rsidRPr="000B1423">
        <w:rPr>
          <w:rFonts w:ascii="Times New Roman" w:eastAsia="MS Mincho" w:hAnsi="Times New Roman" w:cs="Times New Roman"/>
          <w:strike/>
          <w:sz w:val="24"/>
        </w:rPr>
        <w:t xml:space="preserve">referierten anderen Schriften Megerles </w:t>
      </w:r>
    </w:p>
    <w:p w:rsidR="00033488" w:rsidRPr="000B1423" w:rsidRDefault="00033488" w:rsidP="00033488">
      <w:pPr>
        <w:pStyle w:val="NurText"/>
        <w:spacing w:line="360" w:lineRule="auto"/>
        <w:ind w:firstLine="284"/>
        <w:jc w:val="both"/>
        <w:rPr>
          <w:rFonts w:ascii="Times New Roman" w:eastAsia="MS Mincho" w:hAnsi="Times New Roman" w:cs="Times New Roman"/>
          <w:strike/>
          <w:sz w:val="24"/>
          <w:lang w:val="it-IT"/>
        </w:rPr>
      </w:pPr>
      <w:r w:rsidRPr="000B1423">
        <w:rPr>
          <w:rFonts w:ascii="Times New Roman" w:eastAsia="MS Mincho" w:hAnsi="Times New Roman" w:cs="Times New Roman"/>
          <w:strike/>
          <w:sz w:val="24"/>
        </w:rPr>
        <w:tab/>
      </w:r>
      <w:r w:rsidRPr="000B1423">
        <w:rPr>
          <w:rFonts w:ascii="Times New Roman" w:eastAsia="MS Mincho" w:hAnsi="Times New Roman" w:cs="Times New Roman"/>
          <w:strike/>
          <w:sz w:val="24"/>
        </w:rPr>
        <w:tab/>
      </w:r>
      <w:r w:rsidRPr="000B1423">
        <w:rPr>
          <w:rFonts w:ascii="Times New Roman" w:eastAsia="MS Mincho" w:hAnsi="Times New Roman" w:cs="Times New Roman"/>
          <w:strike/>
          <w:sz w:val="24"/>
          <w:lang w:val="it-IT"/>
        </w:rPr>
        <w:t>(</w:t>
      </w:r>
      <w:r w:rsidRPr="000B1423">
        <w:rPr>
          <w:rFonts w:ascii="Times New Roman" w:eastAsia="MS Mincho" w:hAnsi="Times New Roman" w:cs="Times New Roman"/>
          <w:i/>
          <w:iCs/>
          <w:strike/>
          <w:sz w:val="24"/>
          <w:lang w:val="it-IT"/>
        </w:rPr>
        <w:t>Electuarium</w:t>
      </w:r>
      <w:r w:rsidRPr="000B1423">
        <w:rPr>
          <w:rFonts w:ascii="Times New Roman" w:eastAsia="MS Mincho" w:hAnsi="Times New Roman" w:cs="Times New Roman"/>
          <w:strike/>
          <w:sz w:val="24"/>
          <w:lang w:val="it-IT"/>
        </w:rPr>
        <w:t xml:space="preserve"> und </w:t>
      </w:r>
      <w:r w:rsidRPr="000B1423">
        <w:rPr>
          <w:rFonts w:ascii="Times New Roman" w:eastAsia="MS Mincho" w:hAnsi="Times New Roman" w:cs="Times New Roman"/>
          <w:i/>
          <w:iCs/>
          <w:strike/>
          <w:sz w:val="24"/>
          <w:lang w:val="it-IT"/>
        </w:rPr>
        <w:t>Scala Musica Coelestis</w:t>
      </w:r>
      <w:r w:rsidRPr="000B1423">
        <w:rPr>
          <w:rFonts w:ascii="Times New Roman" w:eastAsia="MS Mincho" w:hAnsi="Times New Roman" w:cs="Times New Roman"/>
          <w:strike/>
          <w:sz w:val="24"/>
          <w:lang w:val="it-IT"/>
        </w:rPr>
        <w:t>)</w:t>
      </w:r>
    </w:p>
    <w:p w:rsidR="00033488" w:rsidRPr="000B1423" w:rsidRDefault="00033488" w:rsidP="00033488">
      <w:pPr>
        <w:pStyle w:val="NurText"/>
        <w:spacing w:line="360" w:lineRule="auto"/>
        <w:ind w:firstLine="284"/>
        <w:jc w:val="both"/>
        <w:rPr>
          <w:rFonts w:ascii="Times New Roman" w:eastAsia="MS Mincho" w:hAnsi="Times New Roman" w:cs="Times New Roman"/>
          <w:strike/>
          <w:sz w:val="24"/>
        </w:rPr>
      </w:pPr>
      <w:r w:rsidRPr="000B1423">
        <w:rPr>
          <w:rFonts w:ascii="Times New Roman" w:eastAsia="MS Mincho" w:hAnsi="Times New Roman" w:cs="Times New Roman"/>
          <w:strike/>
          <w:sz w:val="24"/>
        </w:rPr>
        <w:t xml:space="preserve">VII.    </w:t>
      </w:r>
      <w:r w:rsidRPr="000B1423">
        <w:rPr>
          <w:rFonts w:ascii="Times New Roman" w:eastAsia="MS Mincho" w:hAnsi="Times New Roman" w:cs="Times New Roman"/>
          <w:strike/>
          <w:sz w:val="24"/>
        </w:rPr>
        <w:tab/>
        <w:t>Einzelbemerkungen (zu den fortlaufenden Seiten)</w:t>
      </w:r>
    </w:p>
    <w:p w:rsidR="00033488" w:rsidRPr="000B1423" w:rsidRDefault="00033488" w:rsidP="00033488">
      <w:pPr>
        <w:pStyle w:val="NurText"/>
        <w:spacing w:line="360" w:lineRule="auto"/>
        <w:ind w:firstLine="284"/>
        <w:jc w:val="both"/>
        <w:rPr>
          <w:rFonts w:ascii="Times New Roman" w:eastAsia="MS Mincho" w:hAnsi="Times New Roman" w:cs="Times New Roman"/>
          <w:strike/>
          <w:sz w:val="24"/>
        </w:rPr>
      </w:pPr>
      <w:r w:rsidRPr="000B1423">
        <w:rPr>
          <w:rFonts w:ascii="Times New Roman" w:eastAsia="MS Mincho" w:hAnsi="Times New Roman" w:cs="Times New Roman"/>
          <w:strike/>
          <w:sz w:val="24"/>
        </w:rPr>
        <w:t>VIII.</w:t>
      </w:r>
      <w:r w:rsidRPr="000B1423">
        <w:rPr>
          <w:rFonts w:ascii="Times New Roman" w:eastAsia="MS Mincho" w:hAnsi="Times New Roman" w:cs="Times New Roman"/>
          <w:strike/>
          <w:sz w:val="24"/>
        </w:rPr>
        <w:tab/>
        <w:t>Kritischer Bericht</w:t>
      </w:r>
    </w:p>
    <w:p w:rsidR="00033488" w:rsidRPr="000B1423" w:rsidRDefault="00033488" w:rsidP="00033488">
      <w:pPr>
        <w:pStyle w:val="NurText"/>
        <w:spacing w:line="360" w:lineRule="auto"/>
        <w:ind w:firstLine="284"/>
        <w:jc w:val="both"/>
        <w:rPr>
          <w:rFonts w:ascii="Times New Roman" w:eastAsia="MS Mincho" w:hAnsi="Times New Roman" w:cs="Times New Roman"/>
          <w:strike/>
          <w:sz w:val="24"/>
        </w:rPr>
      </w:pPr>
    </w:p>
    <w:p w:rsidR="00033488" w:rsidRPr="000B1423" w:rsidRDefault="00033488" w:rsidP="00033488">
      <w:pPr>
        <w:pStyle w:val="NurText"/>
        <w:numPr>
          <w:ilvl w:val="0"/>
          <w:numId w:val="1"/>
        </w:numPr>
        <w:spacing w:line="360" w:lineRule="auto"/>
        <w:jc w:val="both"/>
        <w:rPr>
          <w:rFonts w:ascii="Times New Roman" w:eastAsia="MS Mincho" w:hAnsi="Times New Roman" w:cs="Times New Roman"/>
          <w:strike/>
          <w:sz w:val="24"/>
        </w:rPr>
      </w:pPr>
      <w:r w:rsidRPr="000B1423">
        <w:rPr>
          <w:rFonts w:ascii="Times New Roman" w:eastAsia="MS Mincho" w:hAnsi="Times New Roman" w:cs="Times New Roman"/>
          <w:strike/>
          <w:sz w:val="24"/>
        </w:rPr>
        <w:t>Übersetzung der Widmungsrede und anderer lateinischer Textteile</w:t>
      </w:r>
    </w:p>
    <w:p w:rsidR="00033488" w:rsidRPr="000B1423" w:rsidRDefault="00033488" w:rsidP="00033488">
      <w:pPr>
        <w:pStyle w:val="NurText"/>
        <w:numPr>
          <w:ilvl w:val="0"/>
          <w:numId w:val="1"/>
        </w:numPr>
        <w:spacing w:line="360" w:lineRule="auto"/>
        <w:jc w:val="both"/>
        <w:rPr>
          <w:rFonts w:ascii="Times New Roman" w:eastAsia="MS Mincho" w:hAnsi="Times New Roman" w:cs="Times New Roman"/>
          <w:strike/>
          <w:sz w:val="24"/>
        </w:rPr>
      </w:pPr>
      <w:r w:rsidRPr="000B1423">
        <w:rPr>
          <w:rFonts w:ascii="Times New Roman" w:eastAsia="MS Mincho" w:hAnsi="Times New Roman" w:cs="Times New Roman"/>
          <w:strike/>
          <w:sz w:val="24"/>
        </w:rPr>
        <w:t>Verzeichnis der musikalischen Werke</w:t>
      </w:r>
    </w:p>
    <w:p w:rsidR="00033488" w:rsidRPr="000B1423" w:rsidRDefault="00033488" w:rsidP="00033488">
      <w:pPr>
        <w:pStyle w:val="NurText"/>
        <w:numPr>
          <w:ilvl w:val="0"/>
          <w:numId w:val="1"/>
        </w:numPr>
        <w:spacing w:line="360" w:lineRule="auto"/>
        <w:jc w:val="both"/>
        <w:rPr>
          <w:rFonts w:ascii="Times New Roman" w:eastAsia="MS Mincho" w:hAnsi="Times New Roman" w:cs="Times New Roman"/>
          <w:strike/>
          <w:sz w:val="24"/>
        </w:rPr>
      </w:pPr>
      <w:r w:rsidRPr="000B1423">
        <w:rPr>
          <w:rFonts w:ascii="Times New Roman" w:eastAsia="MS Mincho" w:hAnsi="Times New Roman" w:cs="Times New Roman"/>
          <w:strike/>
          <w:sz w:val="24"/>
        </w:rPr>
        <w:t>Verzeichnis der literarischen  Werke und der schriftlichen Dokumente</w:t>
      </w:r>
    </w:p>
    <w:p w:rsidR="00033488" w:rsidRPr="000B1423" w:rsidRDefault="00033488" w:rsidP="00033488">
      <w:pPr>
        <w:pStyle w:val="NurText"/>
        <w:numPr>
          <w:ilvl w:val="0"/>
          <w:numId w:val="1"/>
        </w:numPr>
        <w:spacing w:line="360" w:lineRule="auto"/>
        <w:jc w:val="both"/>
        <w:rPr>
          <w:rFonts w:ascii="Times New Roman" w:eastAsia="MS Mincho" w:hAnsi="Times New Roman" w:cs="Times New Roman"/>
          <w:strike/>
          <w:sz w:val="24"/>
        </w:rPr>
      </w:pPr>
      <w:r w:rsidRPr="000B1423">
        <w:rPr>
          <w:rFonts w:ascii="Times New Roman" w:eastAsia="MS Mincho" w:hAnsi="Times New Roman" w:cs="Times New Roman"/>
          <w:strike/>
          <w:sz w:val="24"/>
        </w:rPr>
        <w:t>Verzeichnis der Porträts</w:t>
      </w:r>
    </w:p>
    <w:p w:rsidR="009E7E01" w:rsidRDefault="009E7E01" w:rsidP="009C6D65">
      <w:pPr>
        <w:pStyle w:val="NurText"/>
        <w:spacing w:line="360" w:lineRule="auto"/>
        <w:jc w:val="both"/>
        <w:rPr>
          <w:rFonts w:ascii="Times New Roman" w:eastAsia="MS Mincho" w:hAnsi="Times New Roman" w:cs="Times New Roman"/>
          <w:sz w:val="24"/>
        </w:rPr>
      </w:pPr>
    </w:p>
    <w:p w:rsidR="00033488" w:rsidRDefault="009C6D65" w:rsidP="009C6D65">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Meine sehr geehrten Damen und Herren,</w:t>
      </w:r>
    </w:p>
    <w:p w:rsidR="009E7E01" w:rsidRDefault="009E7E01" w:rsidP="009C6D65">
      <w:pPr>
        <w:pStyle w:val="NurText"/>
        <w:spacing w:line="360" w:lineRule="auto"/>
        <w:jc w:val="both"/>
        <w:rPr>
          <w:rFonts w:ascii="Times New Roman" w:eastAsia="MS Mincho" w:hAnsi="Times New Roman" w:cs="Times New Roman"/>
          <w:sz w:val="24"/>
        </w:rPr>
      </w:pPr>
    </w:p>
    <w:p w:rsidR="009E7E01" w:rsidRDefault="009C6D65" w:rsidP="009C6D65">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ich freue mich, Ihnen ein Büchlein vorstellen zu können, das samt seinem Autor heute weitgehend unbekannt sein dürfte, obschon dieser noch im 19. Jahrhundert als „einer der fruchtbarsten und berühmtesten Tonsetzer des siebenzehnten Jahrhunderts“</w:t>
      </w:r>
      <w:r>
        <w:rPr>
          <w:rStyle w:val="Funotenzeichen"/>
          <w:rFonts w:ascii="Times New Roman" w:eastAsia="MS Mincho" w:hAnsi="Times New Roman" w:cs="Times New Roman"/>
          <w:sz w:val="24"/>
        </w:rPr>
        <w:footnoteReference w:id="1"/>
      </w:r>
      <w:r>
        <w:rPr>
          <w:rFonts w:ascii="Times New Roman" w:eastAsia="MS Mincho" w:hAnsi="Times New Roman" w:cs="Times New Roman"/>
          <w:sz w:val="24"/>
        </w:rPr>
        <w:t xml:space="preserve"> galt.</w:t>
      </w:r>
      <w:r w:rsidR="009E7E01">
        <w:rPr>
          <w:rFonts w:ascii="Times New Roman" w:eastAsia="MS Mincho" w:hAnsi="Times New Roman" w:cs="Times New Roman"/>
          <w:sz w:val="24"/>
        </w:rPr>
        <w:t xml:space="preserve"> Der Grund für das Vergessen liegt wesentlich darin, dass Megerles zahlreiche Kompositionen bis auf wenige Ausnahmen entweder verloren oder nur in Fragmenten überliefert sind. Von seinen </w:t>
      </w:r>
      <w:r w:rsidR="003C0FA7">
        <w:rPr>
          <w:rFonts w:ascii="Times New Roman" w:eastAsia="MS Mincho" w:hAnsi="Times New Roman" w:cs="Times New Roman"/>
          <w:sz w:val="24"/>
        </w:rPr>
        <w:t xml:space="preserve">gedruckten </w:t>
      </w:r>
      <w:r w:rsidR="009E7E01">
        <w:rPr>
          <w:rFonts w:ascii="Times New Roman" w:eastAsia="MS Mincho" w:hAnsi="Times New Roman" w:cs="Times New Roman"/>
          <w:sz w:val="24"/>
        </w:rPr>
        <w:t xml:space="preserve">Schriften hat sich </w:t>
      </w:r>
      <w:r w:rsidR="003C0FA7">
        <w:rPr>
          <w:rFonts w:ascii="Times New Roman" w:eastAsia="MS Mincho" w:hAnsi="Times New Roman" w:cs="Times New Roman"/>
          <w:sz w:val="24"/>
        </w:rPr>
        <w:t>allein</w:t>
      </w:r>
      <w:r w:rsidR="009E7E01">
        <w:rPr>
          <w:rFonts w:ascii="Times New Roman" w:eastAsia="MS Mincho" w:hAnsi="Times New Roman" w:cs="Times New Roman"/>
          <w:sz w:val="24"/>
        </w:rPr>
        <w:t xml:space="preserve"> das Speculum musico-mortuale erhalten, immerhin ein Werk, das de</w:t>
      </w:r>
      <w:r w:rsidR="003C0FA7">
        <w:rPr>
          <w:rFonts w:ascii="Times New Roman" w:eastAsia="MS Mincho" w:hAnsi="Times New Roman" w:cs="Times New Roman"/>
          <w:sz w:val="24"/>
        </w:rPr>
        <w:t>m</w:t>
      </w:r>
      <w:r w:rsidR="009E7E01">
        <w:rPr>
          <w:rFonts w:ascii="Times New Roman" w:eastAsia="MS Mincho" w:hAnsi="Times New Roman" w:cs="Times New Roman"/>
          <w:sz w:val="24"/>
        </w:rPr>
        <w:t xml:space="preserve"> Verfasser besonders am Herzen lag und mit dem er sich, ungeachtet seines geringen Umfangs von ca. 50 Seiten,  über viele Jahre</w:t>
      </w:r>
      <w:r w:rsidR="003C0FA7">
        <w:rPr>
          <w:rFonts w:ascii="Times New Roman" w:eastAsia="MS Mincho" w:hAnsi="Times New Roman" w:cs="Times New Roman"/>
          <w:sz w:val="24"/>
        </w:rPr>
        <w:t xml:space="preserve"> beschäfti</w:t>
      </w:r>
      <w:r w:rsidR="009E7E01">
        <w:rPr>
          <w:rFonts w:ascii="Times New Roman" w:eastAsia="MS Mincho" w:hAnsi="Times New Roman" w:cs="Times New Roman"/>
          <w:sz w:val="24"/>
        </w:rPr>
        <w:t>gt hat.</w:t>
      </w:r>
      <w:r w:rsidR="003C0FA7">
        <w:rPr>
          <w:rFonts w:ascii="Times New Roman" w:eastAsia="MS Mincho" w:hAnsi="Times New Roman" w:cs="Times New Roman"/>
          <w:sz w:val="24"/>
        </w:rPr>
        <w:t xml:space="preserve"> Als geistliches Testament repräsentiert es die Summe seines Lebens und seiner Weltanschauung.</w:t>
      </w:r>
    </w:p>
    <w:p w:rsidR="003C0FA7" w:rsidRDefault="003C0FA7" w:rsidP="009C6D65">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lastRenderedPageBreak/>
        <w:t>Lassen Sie mich darum zunächst dieses Leben kurz umreißen und dann auf die vielschichtige Struktur des Büchleins eingehen, bevor ich den Fokus auf die spezifisch emblematischen Züge wende.</w:t>
      </w: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I. Einleitung</w:t>
      </w: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Der Altöttinger Kanonikus und vormalige Konstanzer, dann Salzburger Dom- und Hofkapellmeister Abraham Megerle war zu seiner Zeit ein berühmter Komponist, zumindest im süddeutschen Raum. Dass von ihm heute, trotz des zunehmenden Interesses für die Musik des 17. Jahrhunderts, wenig die Rede ist, liegt vor allem an der schlechten Überlieferung seiner Kompositionen, die weitgehend verloren oder nur fragmentarisch erhalten sind.</w:t>
      </w:r>
      <w:bookmarkStart w:id="0" w:name="_GoBack"/>
      <w:r>
        <w:rPr>
          <w:rStyle w:val="Funotenzeichen"/>
          <w:rFonts w:ascii="Times New Roman" w:eastAsia="MS Mincho" w:hAnsi="Times New Roman" w:cs="Times New Roman"/>
          <w:sz w:val="24"/>
        </w:rPr>
        <w:footnoteReference w:id="2"/>
      </w:r>
      <w:bookmarkEnd w:id="0"/>
      <w:r>
        <w:rPr>
          <w:rFonts w:ascii="Times New Roman" w:eastAsia="MS Mincho" w:hAnsi="Times New Roman" w:cs="Times New Roman"/>
          <w:sz w:val="24"/>
        </w:rPr>
        <w:t xml:space="preserve"> Von seinen verschiedenen literarischen Werken ist allein sein </w:t>
      </w:r>
      <w:r>
        <w:rPr>
          <w:rFonts w:ascii="Times New Roman" w:eastAsia="MS Mincho" w:hAnsi="Times New Roman" w:cs="Times New Roman"/>
          <w:i/>
          <w:iCs/>
          <w:sz w:val="24"/>
        </w:rPr>
        <w:t>Speculum musico-mortuale</w:t>
      </w:r>
      <w:r>
        <w:rPr>
          <w:rFonts w:ascii="Times New Roman" w:eastAsia="MS Mincho" w:hAnsi="Times New Roman" w:cs="Times New Roman"/>
          <w:sz w:val="24"/>
        </w:rPr>
        <w:t xml:space="preserve"> überliefert, das schon im 19. Jahrhundert ein gewisses Interesse auf sich zog. Es ist an den Orten seiner mehrjährigen Tätigkeit in Konstanz, Salzburg und Altötting sowie in Berlin erhalten. (s. kritischen Bericht VIII)</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Das Interesse an diesem Werk war bislang entweder biographisch oder instrumentenkundlicher Art. Martin von Deutinger bespricht es bereits 1854 in seinen </w:t>
      </w:r>
      <w:r>
        <w:rPr>
          <w:rFonts w:ascii="Times New Roman" w:eastAsia="MS Mincho" w:hAnsi="Times New Roman" w:cs="Times New Roman"/>
          <w:i/>
          <w:iCs/>
          <w:sz w:val="24"/>
        </w:rPr>
        <w:t>Beiträgen zur Geschichte, Topographie und Statistik des Erzbisthums München und Freysing</w:t>
      </w:r>
      <w:r>
        <w:rPr>
          <w:rStyle w:val="Funotenzeichen"/>
          <w:rFonts w:ascii="Times New Roman" w:eastAsia="MS Mincho" w:hAnsi="Times New Roman" w:cs="Times New Roman"/>
          <w:sz w:val="24"/>
        </w:rPr>
        <w:footnoteReference w:id="3"/>
      </w:r>
      <w:r>
        <w:rPr>
          <w:rFonts w:ascii="Times New Roman" w:eastAsia="MS Mincho" w:hAnsi="Times New Roman" w:cs="Times New Roman"/>
          <w:sz w:val="24"/>
        </w:rPr>
        <w:t>, ebenso Theodor G. von Karajan 1867 in seiner Biographie über Abraham a Sancta Clara</w:t>
      </w:r>
      <w:r>
        <w:rPr>
          <w:rStyle w:val="Funotenzeichen"/>
          <w:rFonts w:ascii="Times New Roman" w:eastAsia="MS Mincho" w:hAnsi="Times New Roman" w:cs="Times New Roman"/>
          <w:sz w:val="24"/>
        </w:rPr>
        <w:footnoteReference w:id="4"/>
      </w:r>
      <w:r>
        <w:rPr>
          <w:rFonts w:ascii="Times New Roman" w:eastAsia="MS Mincho" w:hAnsi="Times New Roman" w:cs="Times New Roman"/>
          <w:sz w:val="24"/>
        </w:rPr>
        <w:t>, den Neffen und Schützling des Komponisten, der ihn auch zu seinem Ordensnamen veranlasste. Sein weltlicher Name war Johann Ulrich Megerle. Ausführlich geht auch Karl Bertsche in mehreren Veröffentlichungen über und von Abraham a Sancta Clara auf dessen Mentor ein.</w:t>
      </w:r>
      <w:r>
        <w:rPr>
          <w:rStyle w:val="Funotenzeichen"/>
          <w:rFonts w:ascii="Times New Roman" w:eastAsia="MS Mincho" w:hAnsi="Times New Roman" w:cs="Times New Roman"/>
          <w:sz w:val="24"/>
        </w:rPr>
        <w:footnoteReference w:id="5"/>
      </w:r>
      <w:r>
        <w:rPr>
          <w:rFonts w:ascii="Times New Roman" w:eastAsia="MS Mincho" w:hAnsi="Times New Roman" w:cs="Times New Roman"/>
          <w:sz w:val="24"/>
        </w:rPr>
        <w:t xml:space="preserve"> Ein unmittelbares Interesse an Megerle zeigt die (ungedruckte) Dissertation von Hanns Albert, die das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in biographischer Hinsicht auswertet und im Anhang den größten Teil des Textes, wenn auch in unzulänglicher Form, wiedergibt.</w:t>
      </w:r>
      <w:r>
        <w:rPr>
          <w:rStyle w:val="Funotenzeichen"/>
          <w:rFonts w:ascii="Times New Roman" w:eastAsia="MS Mincho" w:hAnsi="Times New Roman" w:cs="Times New Roman"/>
          <w:sz w:val="24"/>
        </w:rPr>
        <w:footnoteReference w:id="6"/>
      </w:r>
      <w:r>
        <w:rPr>
          <w:rFonts w:ascii="Times New Roman" w:eastAsia="MS Mincho" w:hAnsi="Times New Roman" w:cs="Times New Roman"/>
          <w:sz w:val="24"/>
        </w:rPr>
        <w:t xml:space="preserve"> Schon 1897 hatte Franz Xaver Haberl in einem Beitrag des </w:t>
      </w:r>
      <w:r>
        <w:rPr>
          <w:rFonts w:ascii="Times New Roman" w:eastAsia="MS Mincho" w:hAnsi="Times New Roman" w:cs="Times New Roman"/>
          <w:i/>
          <w:iCs/>
          <w:sz w:val="24"/>
        </w:rPr>
        <w:t xml:space="preserve">Kirchenmusikalischen </w:t>
      </w:r>
      <w:r>
        <w:rPr>
          <w:rFonts w:ascii="Times New Roman" w:eastAsia="MS Mincho" w:hAnsi="Times New Roman" w:cs="Times New Roman"/>
          <w:i/>
          <w:iCs/>
          <w:sz w:val="24"/>
        </w:rPr>
        <w:lastRenderedPageBreak/>
        <w:t>Jahrbuchs</w:t>
      </w:r>
      <w:r>
        <w:rPr>
          <w:rFonts w:ascii="Times New Roman" w:eastAsia="MS Mincho" w:hAnsi="Times New Roman" w:cs="Times New Roman"/>
          <w:sz w:val="24"/>
        </w:rPr>
        <w:t xml:space="preserve">, neben Megerles handschriftlichem </w:t>
      </w:r>
      <w:r>
        <w:rPr>
          <w:rFonts w:ascii="Times New Roman" w:eastAsia="MS Mincho" w:hAnsi="Times New Roman" w:cs="Times New Roman"/>
          <w:i/>
          <w:iCs/>
          <w:sz w:val="24"/>
        </w:rPr>
        <w:t>Beylag zu meinem Testament</w:t>
      </w:r>
      <w:r>
        <w:rPr>
          <w:rStyle w:val="Funotenzeichen"/>
          <w:rFonts w:ascii="Times New Roman" w:eastAsia="MS Mincho" w:hAnsi="Times New Roman" w:cs="Times New Roman"/>
          <w:sz w:val="24"/>
        </w:rPr>
        <w:footnoteReference w:id="7"/>
      </w:r>
      <w:r>
        <w:rPr>
          <w:rFonts w:ascii="Times New Roman" w:eastAsia="MS Mincho" w:hAnsi="Times New Roman" w:cs="Times New Roman"/>
          <w:sz w:val="24"/>
        </w:rPr>
        <w:t xml:space="preserve">, das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ausführlich zitiert und daraus das Titelbild sowie den 10. bis 13. Totenkopf-Kupferstich abgebildet.</w:t>
      </w:r>
      <w:r>
        <w:rPr>
          <w:rStyle w:val="Funotenzeichen"/>
          <w:rFonts w:ascii="Times New Roman" w:eastAsia="MS Mincho" w:hAnsi="Times New Roman" w:cs="Times New Roman"/>
          <w:i/>
          <w:iCs/>
          <w:sz w:val="24"/>
        </w:rPr>
        <w:footnoteReference w:id="8"/>
      </w:r>
      <w:r>
        <w:rPr>
          <w:rFonts w:ascii="Times New Roman" w:eastAsia="MS Mincho" w:hAnsi="Times New Roman" w:cs="Times New Roman"/>
          <w:sz w:val="24"/>
        </w:rPr>
        <w:t xml:space="preserve"> Er ergänzte damit die Wiedergaben der Totenkopfstiche 1 bis 9, die Oskar Fleischer 1891 veröffentlicht hatte.</w:t>
      </w:r>
      <w:r>
        <w:rPr>
          <w:rStyle w:val="Funotenzeichen"/>
          <w:rFonts w:ascii="Times New Roman" w:eastAsia="MS Mincho" w:hAnsi="Times New Roman" w:cs="Times New Roman"/>
          <w:sz w:val="24"/>
        </w:rPr>
        <w:footnoteReference w:id="9"/>
      </w:r>
      <w:r>
        <w:rPr>
          <w:rFonts w:ascii="Times New Roman" w:eastAsia="MS Mincho" w:hAnsi="Times New Roman" w:cs="Times New Roman"/>
          <w:sz w:val="24"/>
        </w:rPr>
        <w:t xml:space="preserve"> Fleischer hatten nur die Seiten 19 bis 40 des Büchleins vorgelegen, so dass er den Namen des Autors nicht kannte. Nicht nur deshalb, sondern auch aus einer grundsätzlichen Fehleinschätzung über den instrumentenkundlichen Aussagewert der Darstellungen, war er zu einer Datierung des Werkes gelangt, die ein Jahrhundert vor dem tatsächlichen Datum lag. Mit seiner für das späte 19. Jahrhundert typischen positivistischen Methode hatte er die dargestellten Instrumente ausschließlich als zeitgenössische Dokumente der Instrumentenentwicklung betrachtet, ohne ihre vornehmlich symbolisch</w:t>
      </w:r>
      <w:r w:rsidR="00961D57">
        <w:rPr>
          <w:rFonts w:ascii="Times New Roman" w:eastAsia="MS Mincho" w:hAnsi="Times New Roman" w:cs="Times New Roman"/>
          <w:sz w:val="24"/>
        </w:rPr>
        <w:t>-emblematische</w:t>
      </w:r>
      <w:r>
        <w:rPr>
          <w:rFonts w:ascii="Times New Roman" w:eastAsia="MS Mincho" w:hAnsi="Times New Roman" w:cs="Times New Roman"/>
          <w:sz w:val="24"/>
        </w:rPr>
        <w:t xml:space="preserve"> Funktion und ihren Zusammenhang mit der Idee des ganzen Werkes zu berücksichtigen.</w:t>
      </w: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II. Zum Autor</w:t>
      </w: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 xml:space="preserve">Megerles Leben wird von ihm selbst im </w:t>
      </w:r>
      <w:r>
        <w:rPr>
          <w:rFonts w:ascii="Times New Roman" w:eastAsia="MS Mincho" w:hAnsi="Times New Roman" w:cs="Times New Roman"/>
          <w:i/>
          <w:iCs/>
          <w:sz w:val="24"/>
        </w:rPr>
        <w:t>Speculum</w:t>
      </w:r>
      <w:r>
        <w:rPr>
          <w:rFonts w:ascii="Times New Roman" w:eastAsia="MS Mincho" w:hAnsi="Times New Roman" w:cs="Times New Roman"/>
          <w:sz w:val="24"/>
        </w:rPr>
        <w:t xml:space="preserve"> mit einigen wichtigen Stationen dargestellt. Diese betreffen seine Lehrjahre in Tirol, insbesondere seine Schülerschaft bei Johann Stadlmayr in Innsbruck (S. 9-11) sowie seine Tätigkeit als Musiklehrer (und Beichtvater?) in 19 Frauenklöstern (S. 5ff.). Dabei geht er ausführlich auf das Dominikanerinnenkloster Zoffingen in Konstanz ein (S. 5f.), dem er zeitlebens eng verbunden blieb, auch auf das adelige Damenstift in Hall (Tirol) (S. 9f.), wo ihm eine künftige Kapellmeisterstelle angeboten wurde, und das Innsbrucker Servitinnenkloster (S. 10f.). Dieser ganze Bericht am Anfang des deutschsprachigen Teils seines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hat die Funktion der Bitte an die genannten Klöster, für Megerles Seelenheil zu beten.</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In dem erwähnten Kloster Zoffingen sind noch heute eine Reihe von Briefen und anderen Schriftstücken Megerles erhalten, die Albert neben verstreuten weiteren Dokumenten</w:t>
      </w:r>
      <w:r>
        <w:rPr>
          <w:rStyle w:val="Funotenzeichen"/>
          <w:rFonts w:ascii="Times New Roman" w:eastAsia="MS Mincho" w:hAnsi="Times New Roman" w:cs="Times New Roman"/>
          <w:sz w:val="24"/>
        </w:rPr>
        <w:footnoteReference w:id="10"/>
      </w:r>
      <w:r>
        <w:rPr>
          <w:rFonts w:ascii="Times New Roman" w:eastAsia="MS Mincho" w:hAnsi="Times New Roman" w:cs="Times New Roman"/>
          <w:sz w:val="24"/>
        </w:rPr>
        <w:t xml:space="preserve"> in seiner Dissertation für eine ausführliche Biographie Megerles herangezogen hat.</w:t>
      </w:r>
      <w:r>
        <w:rPr>
          <w:rStyle w:val="Funotenzeichen"/>
          <w:rFonts w:ascii="Times New Roman" w:eastAsia="MS Mincho" w:hAnsi="Times New Roman" w:cs="Times New Roman"/>
          <w:sz w:val="24"/>
        </w:rPr>
        <w:footnoteReference w:id="11"/>
      </w:r>
      <w:r>
        <w:rPr>
          <w:rFonts w:ascii="Times New Roman" w:eastAsia="MS Mincho" w:hAnsi="Times New Roman" w:cs="Times New Roman"/>
          <w:sz w:val="24"/>
        </w:rPr>
        <w:t xml:space="preserve"> In den letzten Jahrzehnten ist zu Megerles Biographie kaum noch Neues aufgedeckt worden.</w:t>
      </w:r>
      <w:r>
        <w:rPr>
          <w:rStyle w:val="Funotenzeichen"/>
          <w:rFonts w:ascii="Times New Roman" w:eastAsia="MS Mincho" w:hAnsi="Times New Roman" w:cs="Times New Roman"/>
          <w:sz w:val="24"/>
        </w:rPr>
        <w:footnoteReference w:id="12"/>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Die wichtigsten Daten seien hier mitgeteilt: Abraham Megerle wurde am 9. Februar 1607 in Wasserburg am Inn als Sohn des Schlossers Balthasar und seiner Ehefrau Apollonia Megerle geboren. Seine musikalische Ausbildung erhielt er vornehmlich in Innsbruck, wo er seit 1617 im </w:t>
      </w:r>
      <w:r>
        <w:rPr>
          <w:rFonts w:ascii="Times New Roman" w:eastAsia="MS Mincho" w:hAnsi="Times New Roman" w:cs="Times New Roman"/>
          <w:sz w:val="24"/>
        </w:rPr>
        <w:lastRenderedPageBreak/>
        <w:t>Kloster der Servitinnen, seit 1621 unter Leitung Johann Stadlmayrs als Kapellknabe in der erzherzoglichen Kapelle sang.</w:t>
      </w:r>
      <w:r>
        <w:rPr>
          <w:rStyle w:val="Funotenzeichen"/>
          <w:rFonts w:ascii="Times New Roman" w:eastAsia="MS Mincho" w:hAnsi="Times New Roman" w:cs="Times New Roman"/>
          <w:sz w:val="24"/>
        </w:rPr>
        <w:footnoteReference w:id="13"/>
      </w:r>
      <w:r>
        <w:rPr>
          <w:rFonts w:ascii="Times New Roman" w:eastAsia="MS Mincho" w:hAnsi="Times New Roman" w:cs="Times New Roman"/>
          <w:sz w:val="24"/>
        </w:rPr>
        <w:t xml:space="preserve"> Höchstwahrscheinlich besuchte er in Innsbruck auch das von Jesuiten geleitete Gymnasium.</w:t>
      </w:r>
      <w:r>
        <w:rPr>
          <w:rStyle w:val="Funotenzeichen"/>
          <w:rFonts w:ascii="Times New Roman" w:eastAsia="MS Mincho" w:hAnsi="Times New Roman" w:cs="Times New Roman"/>
          <w:sz w:val="24"/>
        </w:rPr>
        <w:footnoteReference w:id="14"/>
      </w:r>
      <w:r>
        <w:rPr>
          <w:rFonts w:ascii="Times New Roman" w:eastAsia="MS Mincho" w:hAnsi="Times New Roman" w:cs="Times New Roman"/>
          <w:sz w:val="24"/>
        </w:rPr>
        <w:t xml:space="preserve"> 1634 wurde er, bereits Priester, als Kapellmeister an den Dom zu Konstanz berufen</w:t>
      </w:r>
      <w:r>
        <w:rPr>
          <w:rStyle w:val="Funotenzeichen"/>
          <w:rFonts w:ascii="Times New Roman" w:eastAsia="MS Mincho" w:hAnsi="Times New Roman" w:cs="Times New Roman"/>
          <w:sz w:val="24"/>
        </w:rPr>
        <w:footnoteReference w:id="15"/>
      </w:r>
      <w:r>
        <w:rPr>
          <w:rFonts w:ascii="Times New Roman" w:eastAsia="MS Mincho" w:hAnsi="Times New Roman" w:cs="Times New Roman"/>
          <w:sz w:val="24"/>
        </w:rPr>
        <w:t>, von 1640 bis 1650 als Hof- und Domkapellmeister nach Salzburg. Danach lebte er zurückgezogen als Kanoniker in Altötting, wo er am 29. Mai 1680 verstarb.</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Megerle nennt sich im </w:t>
      </w:r>
      <w:r>
        <w:rPr>
          <w:rFonts w:ascii="Times New Roman" w:eastAsia="MS Mincho" w:hAnsi="Times New Roman" w:cs="Times New Roman"/>
          <w:i/>
          <w:iCs/>
          <w:sz w:val="24"/>
        </w:rPr>
        <w:t>Speculum</w:t>
      </w:r>
      <w:r>
        <w:rPr>
          <w:rFonts w:ascii="Times New Roman" w:eastAsia="MS Mincho" w:hAnsi="Times New Roman" w:cs="Times New Roman"/>
          <w:sz w:val="24"/>
        </w:rPr>
        <w:t xml:space="preserve"> selbst einen weltberühmten Mann</w:t>
      </w:r>
      <w:r>
        <w:rPr>
          <w:rStyle w:val="Funotenzeichen"/>
          <w:rFonts w:ascii="Times New Roman" w:eastAsia="MS Mincho" w:hAnsi="Times New Roman" w:cs="Times New Roman"/>
          <w:sz w:val="24"/>
        </w:rPr>
        <w:footnoteReference w:id="16"/>
      </w:r>
      <w:r>
        <w:rPr>
          <w:rFonts w:ascii="Times New Roman" w:eastAsia="MS Mincho" w:hAnsi="Times New Roman" w:cs="Times New Roman"/>
          <w:sz w:val="24"/>
        </w:rPr>
        <w:t xml:space="preserve"> und war tatsächlich von Fürsten und Kollegen, wie Johann Caspar Kerll, hoch geschätzt. 1652 wurde er von Kaiser Ferdinand III. geadelt</w:t>
      </w:r>
      <w:r>
        <w:rPr>
          <w:rStyle w:val="Funotenzeichen"/>
          <w:rFonts w:ascii="Times New Roman" w:eastAsia="MS Mincho" w:hAnsi="Times New Roman" w:cs="Times New Roman"/>
          <w:sz w:val="24"/>
        </w:rPr>
        <w:footnoteReference w:id="17"/>
      </w:r>
      <w:r>
        <w:rPr>
          <w:rFonts w:ascii="Times New Roman" w:eastAsia="MS Mincho" w:hAnsi="Times New Roman" w:cs="Times New Roman"/>
          <w:sz w:val="24"/>
        </w:rPr>
        <w:t>, 1662 von Papst Alexander VII. zum Protonotar der Römischen Kirche und Apostolischen Notarius iuratus ernannt.</w:t>
      </w:r>
      <w:r>
        <w:rPr>
          <w:rStyle w:val="Funotenzeichen"/>
          <w:rFonts w:ascii="Times New Roman" w:eastAsia="MS Mincho" w:hAnsi="Times New Roman" w:cs="Times New Roman"/>
          <w:sz w:val="24"/>
        </w:rPr>
        <w:footnoteReference w:id="18"/>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Mittlerweile ist </w:t>
      </w:r>
      <w:r w:rsidR="009C6D65">
        <w:rPr>
          <w:rFonts w:ascii="Times New Roman" w:eastAsia="MS Mincho" w:hAnsi="Times New Roman" w:cs="Times New Roman"/>
          <w:sz w:val="24"/>
        </w:rPr>
        <w:t>Megerles</w:t>
      </w:r>
      <w:r>
        <w:rPr>
          <w:rFonts w:ascii="Times New Roman" w:eastAsia="MS Mincho" w:hAnsi="Times New Roman" w:cs="Times New Roman"/>
          <w:sz w:val="24"/>
        </w:rPr>
        <w:t xml:space="preserve"> Ruhm allerdings verfallen. Eric Thomas Chafe nennt ihn in seinem Buch </w:t>
      </w:r>
      <w:r>
        <w:rPr>
          <w:rFonts w:ascii="Times New Roman" w:eastAsia="MS Mincho" w:hAnsi="Times New Roman" w:cs="Times New Roman"/>
          <w:i/>
          <w:iCs/>
          <w:sz w:val="24"/>
        </w:rPr>
        <w:t>The Church Music of Heinrich Biber</w:t>
      </w:r>
      <w:r>
        <w:rPr>
          <w:rFonts w:ascii="Times New Roman" w:eastAsia="MS Mincho" w:hAnsi="Times New Roman" w:cs="Times New Roman"/>
          <w:sz w:val="24"/>
        </w:rPr>
        <w:t xml:space="preserve"> zwar eine sehr ungewöhnliche Persönlichkeit, doch sei er, im Gegensatz zu Muffat und Biber, kein erstrangiger Komponist gewesen; seine Kanons seien „highly intricate, if dull“.</w:t>
      </w:r>
      <w:r>
        <w:rPr>
          <w:rStyle w:val="Funotenzeichen"/>
          <w:rFonts w:ascii="Times New Roman" w:eastAsia="MS Mincho" w:hAnsi="Times New Roman" w:cs="Times New Roman"/>
          <w:sz w:val="24"/>
        </w:rPr>
        <w:footnoteReference w:id="19"/>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Tatsächlich erscheint manches an Megerles exzeptioneller Selbstdarstellung heute fassadenhaft, selbst wenn man berücksichtigt, dass es nach barocker Auffassung gerade in einem Werk wie dem </w:t>
      </w:r>
      <w:r>
        <w:rPr>
          <w:rFonts w:ascii="Times New Roman" w:eastAsia="MS Mincho" w:hAnsi="Times New Roman" w:cs="Times New Roman"/>
          <w:i/>
          <w:iCs/>
          <w:sz w:val="24"/>
        </w:rPr>
        <w:t>Speculum</w:t>
      </w:r>
      <w:r>
        <w:rPr>
          <w:rFonts w:ascii="Times New Roman" w:eastAsia="MS Mincho" w:hAnsi="Times New Roman" w:cs="Times New Roman"/>
          <w:sz w:val="24"/>
        </w:rPr>
        <w:t xml:space="preserve"> als geistlichem Testament darauf ankam, die Würden und den Ruhm eines Menschen im glänzendsten Licht darzustellen, um diese desto wirkungsvoller mit dem Vanitasgedanken zu konfrontieren. Die Art wie Megerle über seine Kompositionen und seinen Rang als Kapellmeister spricht</w:t>
      </w:r>
      <w:r>
        <w:rPr>
          <w:rStyle w:val="Funotenzeichen"/>
          <w:rFonts w:ascii="Times New Roman" w:eastAsia="MS Mincho" w:hAnsi="Times New Roman" w:cs="Times New Roman"/>
          <w:sz w:val="24"/>
        </w:rPr>
        <w:footnoteReference w:id="20"/>
      </w:r>
      <w:r>
        <w:rPr>
          <w:rFonts w:ascii="Times New Roman" w:eastAsia="MS Mincho" w:hAnsi="Times New Roman" w:cs="Times New Roman"/>
          <w:sz w:val="24"/>
        </w:rPr>
        <w:t>, weisen ebenso auf ein übersteigertes Selbstbewusstsein hin wie die ständigen Schwierigkeiten, die er wegen seiner anmaßenden Geltungsbedürfnisse mit anderen Altöttinger Kanonikern hatte.</w:t>
      </w:r>
      <w:r>
        <w:rPr>
          <w:rStyle w:val="Funotenzeichen"/>
          <w:rFonts w:ascii="Times New Roman" w:eastAsia="MS Mincho" w:hAnsi="Times New Roman" w:cs="Times New Roman"/>
          <w:sz w:val="24"/>
        </w:rPr>
        <w:footnoteReference w:id="21"/>
      </w:r>
      <w:r>
        <w:rPr>
          <w:rFonts w:ascii="Times New Roman" w:eastAsia="MS Mincho" w:hAnsi="Times New Roman" w:cs="Times New Roman"/>
          <w:sz w:val="24"/>
        </w:rPr>
        <w:t xml:space="preserve"> Gleichwohl war Megerle zweifellos eine markante, für sein Zeitalter sehr charakteristische Persönlichkeit und ein spektakulärer Komponist, was sich besonders in seiner Vorliebe für esoterische Kanonkünste einerseits und für emphatische Kolossalwerke andererseits zeigt.</w:t>
      </w: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 xml:space="preserve">Über seine Kompositionen schreibt Megerle im </w:t>
      </w:r>
      <w:r>
        <w:rPr>
          <w:rFonts w:ascii="Times New Roman" w:eastAsia="MS Mincho" w:hAnsi="Times New Roman" w:cs="Times New Roman"/>
          <w:i/>
          <w:iCs/>
          <w:sz w:val="24"/>
        </w:rPr>
        <w:t>Speculum</w:t>
      </w:r>
      <w:r>
        <w:rPr>
          <w:rFonts w:ascii="Times New Roman" w:eastAsia="MS Mincho" w:hAnsi="Times New Roman" w:cs="Times New Roman"/>
          <w:sz w:val="24"/>
        </w:rPr>
        <w:t xml:space="preserve">, er habe </w:t>
      </w:r>
    </w:p>
    <w:p w:rsidR="00033488" w:rsidRDefault="00033488" w:rsidP="00033488">
      <w:pPr>
        <w:pStyle w:val="NurText"/>
        <w:ind w:left="284"/>
        <w:jc w:val="both"/>
        <w:rPr>
          <w:rFonts w:ascii="Times New Roman" w:eastAsia="MS Mincho" w:hAnsi="Times New Roman" w:cs="Times New Roman"/>
          <w:sz w:val="24"/>
        </w:rPr>
      </w:pPr>
      <w:r>
        <w:rPr>
          <w:rFonts w:ascii="Times New Roman" w:eastAsia="MS Mincho" w:hAnsi="Times New Roman" w:cs="Times New Roman"/>
          <w:sz w:val="24"/>
        </w:rPr>
        <w:t xml:space="preserve">„biss in die 2000 stuck hinterlassen / ohne die Schlagsachen [Orgelwerke] / vnd Spartiturn, dabey auch nit genennet werden / die vilfältige Arcana Musica, auch Anagrammata, </w:t>
      </w:r>
      <w:r>
        <w:rPr>
          <w:rFonts w:ascii="Times New Roman" w:eastAsia="MS Mincho" w:hAnsi="Times New Roman" w:cs="Times New Roman"/>
          <w:sz w:val="24"/>
        </w:rPr>
        <w:lastRenderedPageBreak/>
        <w:t>Logogryphi, Labyrinthi, Canones, AEnigmata Musica, ABCtaria Invocatio per nomina notarum, &amp; aliae plures picturae Musicae.“</w:t>
      </w:r>
      <w:r>
        <w:rPr>
          <w:rStyle w:val="Funotenzeichen"/>
          <w:rFonts w:ascii="Times New Roman" w:eastAsia="MS Mincho" w:hAnsi="Times New Roman" w:cs="Times New Roman"/>
          <w:sz w:val="24"/>
        </w:rPr>
        <w:footnoteReference w:id="22"/>
      </w:r>
    </w:p>
    <w:p w:rsidR="00033488" w:rsidRDefault="00033488" w:rsidP="00033488">
      <w:pPr>
        <w:pStyle w:val="NurText"/>
        <w:ind w:left="284"/>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Leider ist davon nur ein kleiner Teil erhalten geblieben, kaum etwas vollständig.</w:t>
      </w:r>
      <w:r>
        <w:rPr>
          <w:rStyle w:val="Funotenzeichen"/>
          <w:rFonts w:ascii="Times New Roman" w:eastAsia="MS Mincho" w:hAnsi="Times New Roman" w:cs="Times New Roman"/>
          <w:sz w:val="24"/>
        </w:rPr>
        <w:footnoteReference w:id="23"/>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Unter den von Megerle hinterlassenen Dokumenten ist im Konstanzer Kloster Zoffingen, neben zahlreichen Briefen, ein </w:t>
      </w:r>
      <w:r>
        <w:rPr>
          <w:rFonts w:ascii="Times New Roman" w:eastAsia="MS Mincho" w:hAnsi="Times New Roman" w:cs="Times New Roman"/>
          <w:i/>
          <w:iCs/>
          <w:sz w:val="24"/>
        </w:rPr>
        <w:t>Beylag zu meinem Testament</w:t>
      </w:r>
      <w:r>
        <w:rPr>
          <w:rFonts w:ascii="Times New Roman" w:eastAsia="MS Mincho" w:hAnsi="Times New Roman" w:cs="Times New Roman"/>
          <w:sz w:val="24"/>
        </w:rPr>
        <w:t xml:space="preserve"> erhalten. Das Manuskript umfasst 48 Seiten und ist auf der 39. und der letzten „im April anno 1675“ da</w:t>
      </w:r>
      <w:r w:rsidR="00022F4B">
        <w:rPr>
          <w:rFonts w:ascii="Times New Roman" w:eastAsia="MS Mincho" w:hAnsi="Times New Roman" w:cs="Times New Roman"/>
          <w:sz w:val="24"/>
        </w:rPr>
        <w:t xml:space="preserve">tiert, somit drei Jahre nach dem </w:t>
      </w:r>
      <w:r>
        <w:rPr>
          <w:rFonts w:ascii="Times New Roman" w:eastAsia="MS Mincho" w:hAnsi="Times New Roman" w:cs="Times New Roman"/>
          <w:sz w:val="24"/>
        </w:rPr>
        <w:t xml:space="preserve"> mutmaßlichen </w:t>
      </w:r>
      <w:r w:rsidR="00022F4B">
        <w:rPr>
          <w:rFonts w:ascii="Times New Roman" w:eastAsia="MS Mincho" w:hAnsi="Times New Roman" w:cs="Times New Roman"/>
          <w:sz w:val="24"/>
        </w:rPr>
        <w:t>Druck</w:t>
      </w:r>
      <w:r>
        <w:rPr>
          <w:rFonts w:ascii="Times New Roman" w:eastAsia="MS Mincho" w:hAnsi="Times New Roman" w:cs="Times New Roman"/>
          <w:sz w:val="24"/>
        </w:rPr>
        <w:t xml:space="preserve"> des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verfasst. Haberl hat daraus bereits 1897 größere Auszüge veröffentlicht.</w:t>
      </w:r>
      <w:r>
        <w:rPr>
          <w:rStyle w:val="Funotenzeichen"/>
          <w:rFonts w:ascii="Times New Roman" w:eastAsia="MS Mincho" w:hAnsi="Times New Roman" w:cs="Times New Roman"/>
          <w:sz w:val="24"/>
        </w:rPr>
        <w:footnoteReference w:id="24"/>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Wenn Megerle von „Beylag zu meinem Testament“ spricht, so versteht er hier nicht das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als sein eigentliches Testament, sondern, wie er auf der ersten Seite schreibt, ein anderes, „welches anno 1662 den 19ten Augusti an einem Sambstag zu Salzburg“ verfasst wurde; dieses Testament ist verschollen. Der auffällig umfangreiche </w:t>
      </w:r>
      <w:r>
        <w:rPr>
          <w:rFonts w:ascii="Times New Roman" w:eastAsia="MS Mincho" w:hAnsi="Times New Roman" w:cs="Times New Roman"/>
          <w:i/>
          <w:iCs/>
          <w:sz w:val="24"/>
        </w:rPr>
        <w:t>Beylag</w:t>
      </w:r>
      <w:r>
        <w:rPr>
          <w:rFonts w:ascii="Times New Roman" w:eastAsia="MS Mincho" w:hAnsi="Times New Roman" w:cs="Times New Roman"/>
          <w:sz w:val="24"/>
        </w:rPr>
        <w:t xml:space="preserve">, der das Testament Punkt für Punkt bestätigt oder korrigiert, verzeichnet nicht nur bis ins kleinste Detail Megerles gesamten Besitz, sondern ebenso seine bereits zu Lebzeiten vorgenommenen umfangreichen Schenkungen, vorab aber genaueste Anweisungen zu seiner Beisetzung und zur Pflege seiner musikalischen Hinterlassenschaft. - Neben dem </w:t>
      </w:r>
      <w:r>
        <w:rPr>
          <w:rFonts w:ascii="Times New Roman" w:eastAsia="MS Mincho" w:hAnsi="Times New Roman" w:cs="Times New Roman"/>
          <w:i/>
          <w:iCs/>
          <w:sz w:val="24"/>
        </w:rPr>
        <w:t xml:space="preserve">Speculum </w:t>
      </w:r>
      <w:r>
        <w:rPr>
          <w:rFonts w:ascii="Times New Roman" w:eastAsia="MS Mincho" w:hAnsi="Times New Roman" w:cs="Times New Roman"/>
          <w:sz w:val="24"/>
        </w:rPr>
        <w:t xml:space="preserve">zeugt der </w:t>
      </w:r>
      <w:r>
        <w:rPr>
          <w:rFonts w:ascii="Times New Roman" w:eastAsia="MS Mincho" w:hAnsi="Times New Roman" w:cs="Times New Roman"/>
          <w:i/>
          <w:iCs/>
          <w:sz w:val="24"/>
        </w:rPr>
        <w:t>Beylag</w:t>
      </w:r>
      <w:r>
        <w:rPr>
          <w:rFonts w:ascii="Times New Roman" w:eastAsia="MS Mincho" w:hAnsi="Times New Roman" w:cs="Times New Roman"/>
          <w:sz w:val="24"/>
        </w:rPr>
        <w:t xml:space="preserve"> nicht nur von Megerles langjähriger und intensiver Beschäftigung mit dem Tod, sondern exemplifiziert die seinerzeit spezifisch zugespitzte Problematik des Abschiednehmens von einer Welt, die man einerseits verachtet, der man sich andererseits aber (vor allem durch Besitztümer, Würden und Nachruhm) stark verbunden fühlt.</w:t>
      </w: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III. Zu Gattung, Einflüssen und Rezeption</w:t>
      </w:r>
    </w:p>
    <w:p w:rsidR="00033488" w:rsidRDefault="00033488" w:rsidP="00033488">
      <w:pPr>
        <w:pStyle w:val="NurText"/>
        <w:spacing w:line="360" w:lineRule="auto"/>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 xml:space="preserve">Wie schon in der Einleitung gesagt, ist Megerles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ein komplex strukturiertes Buch mit verschiedenen Funktionen und einander durchdringenden Bedeutungsebenen. Darauf weist bereits der Titel mit der kopulativen Zusammensetzung „musico-mortuale“ hin. Aber schon das Substantiv „Speculum“ eröffnet von sich aus eine Fülle von inhaltlichen Möglichkeiten, Traditionen und Assoziationen. Seit dem Hochmittelalter wird es in lateinischer oder deutscher Form häufig als Titel von Büchern lehrhaften Inhalts verwandt, sowohl im weltlichen Bereich, z.B. </w:t>
      </w:r>
      <w:r>
        <w:rPr>
          <w:rFonts w:ascii="Times New Roman" w:eastAsia="MS Mincho" w:hAnsi="Times New Roman" w:cs="Times New Roman"/>
          <w:i/>
          <w:iCs/>
          <w:sz w:val="24"/>
        </w:rPr>
        <w:t>Sachsenspiegel</w:t>
      </w:r>
      <w:r>
        <w:rPr>
          <w:rFonts w:ascii="Times New Roman" w:eastAsia="MS Mincho" w:hAnsi="Times New Roman" w:cs="Times New Roman"/>
          <w:sz w:val="24"/>
        </w:rPr>
        <w:t xml:space="preserve">, </w:t>
      </w:r>
      <w:r>
        <w:rPr>
          <w:rFonts w:ascii="Times New Roman" w:eastAsia="MS Mincho" w:hAnsi="Times New Roman" w:cs="Times New Roman"/>
          <w:i/>
          <w:iCs/>
          <w:sz w:val="24"/>
        </w:rPr>
        <w:t>Fürstenspiegel</w:t>
      </w:r>
      <w:r>
        <w:rPr>
          <w:rFonts w:ascii="Times New Roman" w:eastAsia="MS Mincho" w:hAnsi="Times New Roman" w:cs="Times New Roman"/>
          <w:sz w:val="24"/>
        </w:rPr>
        <w:t xml:space="preserve">, </w:t>
      </w:r>
      <w:r>
        <w:rPr>
          <w:rFonts w:ascii="Times New Roman" w:eastAsia="MS Mincho" w:hAnsi="Times New Roman" w:cs="Times New Roman"/>
          <w:i/>
          <w:iCs/>
          <w:sz w:val="24"/>
        </w:rPr>
        <w:t>speculum morum</w:t>
      </w:r>
      <w:r>
        <w:rPr>
          <w:rFonts w:ascii="Times New Roman" w:eastAsia="MS Mincho" w:hAnsi="Times New Roman" w:cs="Times New Roman"/>
          <w:sz w:val="24"/>
        </w:rPr>
        <w:t xml:space="preserve">, </w:t>
      </w:r>
      <w:r>
        <w:rPr>
          <w:rFonts w:ascii="Times New Roman" w:eastAsia="MS Mincho" w:hAnsi="Times New Roman" w:cs="Times New Roman"/>
          <w:i/>
          <w:iCs/>
          <w:sz w:val="24"/>
        </w:rPr>
        <w:t>speculum magistratus politici</w:t>
      </w:r>
      <w:r>
        <w:rPr>
          <w:rFonts w:ascii="Times New Roman" w:eastAsia="MS Mincho" w:hAnsi="Times New Roman" w:cs="Times New Roman"/>
          <w:sz w:val="24"/>
        </w:rPr>
        <w:t xml:space="preserve"> etc., als auch im geistlichen, z.B. </w:t>
      </w:r>
      <w:r>
        <w:rPr>
          <w:rFonts w:ascii="Times New Roman" w:eastAsia="MS Mincho" w:hAnsi="Times New Roman" w:cs="Times New Roman"/>
          <w:i/>
          <w:iCs/>
          <w:sz w:val="24"/>
        </w:rPr>
        <w:t>Andachtsspiegel</w:t>
      </w:r>
      <w:r>
        <w:rPr>
          <w:rFonts w:ascii="Times New Roman" w:eastAsia="MS Mincho" w:hAnsi="Times New Roman" w:cs="Times New Roman"/>
          <w:sz w:val="24"/>
        </w:rPr>
        <w:t xml:space="preserve">, </w:t>
      </w:r>
      <w:r>
        <w:rPr>
          <w:rFonts w:ascii="Times New Roman" w:eastAsia="MS Mincho" w:hAnsi="Times New Roman" w:cs="Times New Roman"/>
          <w:i/>
          <w:iCs/>
          <w:sz w:val="24"/>
        </w:rPr>
        <w:t>Lebensspiegel</w:t>
      </w:r>
      <w:r>
        <w:rPr>
          <w:rFonts w:ascii="Times New Roman" w:eastAsia="MS Mincho" w:hAnsi="Times New Roman" w:cs="Times New Roman"/>
          <w:sz w:val="24"/>
        </w:rPr>
        <w:t xml:space="preserve"> oder </w:t>
      </w:r>
      <w:r>
        <w:rPr>
          <w:rFonts w:ascii="Times New Roman" w:eastAsia="MS Mincho" w:hAnsi="Times New Roman" w:cs="Times New Roman"/>
          <w:i/>
          <w:iCs/>
          <w:sz w:val="24"/>
        </w:rPr>
        <w:t xml:space="preserve">speculum peccatorum mortalium, das ist: Spiegel der siben </w:t>
      </w:r>
      <w:r>
        <w:rPr>
          <w:rFonts w:ascii="Times New Roman" w:eastAsia="MS Mincho" w:hAnsi="Times New Roman" w:cs="Times New Roman"/>
          <w:i/>
          <w:iCs/>
          <w:sz w:val="24"/>
        </w:rPr>
        <w:lastRenderedPageBreak/>
        <w:t>Hauptlaster und siben Tugenten ... nach poetischer Art beschriben durch Johann Mayer</w:t>
      </w:r>
      <w:r>
        <w:rPr>
          <w:rFonts w:ascii="Times New Roman" w:eastAsia="MS Mincho" w:hAnsi="Times New Roman" w:cs="Times New Roman"/>
          <w:sz w:val="24"/>
        </w:rPr>
        <w:t xml:space="preserve"> (München 1605)</w:t>
      </w:r>
      <w:r>
        <w:rPr>
          <w:rStyle w:val="Funotenzeichen"/>
          <w:rFonts w:ascii="Times New Roman" w:eastAsia="MS Mincho" w:hAnsi="Times New Roman" w:cs="Times New Roman"/>
          <w:sz w:val="24"/>
        </w:rPr>
        <w:footnoteReference w:id="25"/>
      </w:r>
      <w:r>
        <w:rPr>
          <w:rFonts w:ascii="Times New Roman" w:eastAsia="MS Mincho" w:hAnsi="Times New Roman" w:cs="Times New Roman"/>
          <w:sz w:val="24"/>
        </w:rPr>
        <w:t>.</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Ein Sterbespiegel ist das </w:t>
      </w:r>
      <w:r>
        <w:rPr>
          <w:rFonts w:ascii="Times New Roman" w:eastAsia="MS Mincho" w:hAnsi="Times New Roman" w:cs="Times New Roman"/>
          <w:i/>
          <w:iCs/>
          <w:sz w:val="24"/>
        </w:rPr>
        <w:t>Speculum artis bene moriendi</w:t>
      </w:r>
      <w:r>
        <w:rPr>
          <w:rFonts w:ascii="Times New Roman" w:eastAsia="MS Mincho" w:hAnsi="Times New Roman" w:cs="Times New Roman"/>
          <w:sz w:val="24"/>
        </w:rPr>
        <w:t>, das Anfang des 15. Jahrhunderts in Wien wahrscheinlich von Nikolaus von Dinkelsbühl verfasst wurde, eine nachhaltige Verbreitung im ganzen deutschen Sprachraum und vielfältige Bearbeitungen erfuhr.</w:t>
      </w:r>
      <w:r>
        <w:rPr>
          <w:rStyle w:val="Funotenzeichen"/>
          <w:rFonts w:ascii="Times New Roman" w:eastAsia="MS Mincho" w:hAnsi="Times New Roman" w:cs="Times New Roman"/>
          <w:sz w:val="24"/>
        </w:rPr>
        <w:footnoteReference w:id="26"/>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Im musikalischen Bereich genossen das um 1330 von Jacobus von Lüttich verfasste </w:t>
      </w:r>
      <w:r>
        <w:rPr>
          <w:rFonts w:ascii="Times New Roman" w:eastAsia="MS Mincho" w:hAnsi="Times New Roman" w:cs="Times New Roman"/>
          <w:i/>
          <w:iCs/>
          <w:sz w:val="24"/>
        </w:rPr>
        <w:t xml:space="preserve">Speculum musicae </w:t>
      </w:r>
      <w:r>
        <w:rPr>
          <w:rFonts w:ascii="Times New Roman" w:eastAsia="MS Mincho" w:hAnsi="Times New Roman" w:cs="Times New Roman"/>
          <w:sz w:val="24"/>
        </w:rPr>
        <w:t xml:space="preserve">und die anschließende </w:t>
      </w:r>
      <w:r>
        <w:rPr>
          <w:rFonts w:ascii="Times New Roman" w:eastAsia="MS Mincho" w:hAnsi="Times New Roman" w:cs="Times New Roman"/>
          <w:i/>
          <w:iCs/>
          <w:sz w:val="24"/>
        </w:rPr>
        <w:t>Musica speculativa secundum Boetium</w:t>
      </w:r>
      <w:r>
        <w:rPr>
          <w:rFonts w:ascii="Times New Roman" w:eastAsia="MS Mincho" w:hAnsi="Times New Roman" w:cs="Times New Roman"/>
          <w:sz w:val="24"/>
        </w:rPr>
        <w:t xml:space="preserve"> (1323) des Johannes de Muris ein jahrhundertelanges Ansehen. Das </w:t>
      </w:r>
      <w:r>
        <w:rPr>
          <w:rFonts w:ascii="Times New Roman" w:eastAsia="MS Mincho" w:hAnsi="Times New Roman" w:cs="Times New Roman"/>
          <w:i/>
          <w:iCs/>
          <w:sz w:val="24"/>
        </w:rPr>
        <w:t>Speculum musicae</w:t>
      </w:r>
      <w:r>
        <w:rPr>
          <w:rFonts w:ascii="Times New Roman" w:eastAsia="MS Mincho" w:hAnsi="Times New Roman" w:cs="Times New Roman"/>
          <w:sz w:val="24"/>
        </w:rPr>
        <w:t>, das in Art einer scholastischen Summa das ganze System der Musik darstellt, fügt der Dreiteilung der Musik durch Boetius - „Musica est mundana vel humana vel instrumentalis“</w:t>
      </w:r>
      <w:r>
        <w:rPr>
          <w:rStyle w:val="Funotenzeichen"/>
          <w:rFonts w:ascii="Times New Roman" w:eastAsia="MS Mincho" w:hAnsi="Times New Roman" w:cs="Times New Roman"/>
          <w:sz w:val="24"/>
        </w:rPr>
        <w:footnoteReference w:id="27"/>
      </w:r>
      <w:r>
        <w:rPr>
          <w:rFonts w:ascii="Times New Roman" w:eastAsia="MS Mincho" w:hAnsi="Times New Roman" w:cs="Times New Roman"/>
          <w:sz w:val="24"/>
        </w:rPr>
        <w:t xml:space="preserve"> - eine vierte Kategorie hinzu, die „musica coelestis vel divina“</w:t>
      </w:r>
      <w:r>
        <w:rPr>
          <w:rStyle w:val="Funotenzeichen"/>
          <w:rFonts w:ascii="Times New Roman" w:eastAsia="MS Mincho" w:hAnsi="Times New Roman" w:cs="Times New Roman"/>
          <w:sz w:val="24"/>
        </w:rPr>
        <w:footnoteReference w:id="28"/>
      </w:r>
      <w:r>
        <w:rPr>
          <w:rFonts w:ascii="Times New Roman" w:eastAsia="MS Mincho" w:hAnsi="Times New Roman" w:cs="Times New Roman"/>
          <w:sz w:val="24"/>
        </w:rPr>
        <w:t>. Während die ersten drei Kategorien sich auf „res naturales, mobiles et sensibiles“ beziehen, betrifft die musica coelestis  „res metaphysicales, res transcendentes, a motu et materia sensibili separatae“</w:t>
      </w:r>
      <w:r>
        <w:rPr>
          <w:rStyle w:val="Funotenzeichen"/>
          <w:rFonts w:ascii="Times New Roman" w:eastAsia="MS Mincho" w:hAnsi="Times New Roman" w:cs="Times New Roman"/>
          <w:sz w:val="24"/>
        </w:rPr>
        <w:footnoteReference w:id="29"/>
      </w:r>
      <w:r>
        <w:rPr>
          <w:rFonts w:ascii="Times New Roman" w:eastAsia="MS Mincho" w:hAnsi="Times New Roman" w:cs="Times New Roman"/>
          <w:sz w:val="24"/>
        </w:rPr>
        <w:t xml:space="preserve">. Nach dieser Auffassung steht der diesseitigen Musik eine jenseitige, himmlische gegenüber, eine antithetische Vorstellung, wie sie auch für Megerles Musikanschauung im </w:t>
      </w:r>
      <w:r>
        <w:rPr>
          <w:rFonts w:ascii="Times New Roman" w:eastAsia="MS Mincho" w:hAnsi="Times New Roman" w:cs="Times New Roman"/>
          <w:i/>
          <w:iCs/>
          <w:sz w:val="24"/>
        </w:rPr>
        <w:t>Speculum musico-mortuale</w:t>
      </w:r>
      <w:r>
        <w:rPr>
          <w:rFonts w:ascii="Times New Roman" w:eastAsia="MS Mincho" w:hAnsi="Times New Roman" w:cs="Times New Roman"/>
          <w:sz w:val="24"/>
        </w:rPr>
        <w:t xml:space="preserve"> von zentraler Bedeutung ist. Auch wenn Megerle das Traktat nicht unmittelbar gekannt haben sollte</w:t>
      </w:r>
      <w:r>
        <w:rPr>
          <w:rStyle w:val="Funotenzeichen"/>
          <w:rFonts w:ascii="Times New Roman" w:eastAsia="MS Mincho" w:hAnsi="Times New Roman" w:cs="Times New Roman"/>
          <w:sz w:val="24"/>
        </w:rPr>
        <w:footnoteReference w:id="30"/>
      </w:r>
      <w:r>
        <w:rPr>
          <w:rFonts w:ascii="Times New Roman" w:eastAsia="MS Mincho" w:hAnsi="Times New Roman" w:cs="Times New Roman"/>
          <w:sz w:val="24"/>
        </w:rPr>
        <w:t xml:space="preserve">, so haben dessen spekulative Ideen doch zum großen Teil etwa in die zu seiner Zeit berühmte </w:t>
      </w:r>
      <w:r>
        <w:rPr>
          <w:rFonts w:ascii="Times New Roman" w:eastAsia="MS Mincho" w:hAnsi="Times New Roman" w:cs="Times New Roman"/>
          <w:i/>
          <w:iCs/>
          <w:sz w:val="24"/>
        </w:rPr>
        <w:t>Musurgia universalis</w:t>
      </w:r>
      <w:r>
        <w:rPr>
          <w:rFonts w:ascii="Times New Roman" w:eastAsia="MS Mincho" w:hAnsi="Times New Roman" w:cs="Times New Roman"/>
          <w:sz w:val="24"/>
        </w:rPr>
        <w:t xml:space="preserve"> des Jesuiten Athanasius Kircher Eingang gefunden.</w:t>
      </w:r>
      <w:r>
        <w:rPr>
          <w:rStyle w:val="Funotenzeichen"/>
          <w:rFonts w:ascii="Times New Roman" w:eastAsia="MS Mincho" w:hAnsi="Times New Roman" w:cs="Times New Roman"/>
          <w:sz w:val="24"/>
        </w:rPr>
        <w:footnoteReference w:id="31"/>
      </w:r>
      <w:r>
        <w:rPr>
          <w:rFonts w:ascii="Times New Roman" w:eastAsia="MS Mincho" w:hAnsi="Times New Roman" w:cs="Times New Roman"/>
          <w:sz w:val="24"/>
        </w:rPr>
        <w:t xml:space="preserve"> Dessen letztes Buch, der liber analogicus, greift die Spiegelmetapher auf, indem er die menschliche Memoria (nach der Übersetzung von Andreas Hirsch) in einem „Wunder-Schöpfungs-Circkel“, „da alle Bilder und species rerum intellectuales aufgefangen und behalten werden“ als einen „Spiegel der grossen Welt“ „zum contempliren oder speculiren“ interpretiert.</w:t>
      </w:r>
      <w:r>
        <w:rPr>
          <w:rStyle w:val="Funotenzeichen"/>
          <w:rFonts w:ascii="Times New Roman" w:eastAsia="MS Mincho" w:hAnsi="Times New Roman" w:cs="Times New Roman"/>
          <w:sz w:val="24"/>
        </w:rPr>
        <w:footnoteReference w:id="32"/>
      </w:r>
      <w:r>
        <w:rPr>
          <w:rFonts w:ascii="Times New Roman" w:eastAsia="MS Mincho" w:hAnsi="Times New Roman" w:cs="Times New Roman"/>
          <w:sz w:val="24"/>
        </w:rPr>
        <w:t xml:space="preserve">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Dies weist wiederum auf eine tiefere Bedeutung des Wortes „Speculum“, die für Megerles Schrift ebenso von Belang ist. Sie geht auf den Vers des ersten Korintherbriefes zurück: „Videmus nunc per speculum in aenigmate, tunc autem facie ad faciem; nunc cognosco ex parte, tunc autem cognoscam sicut et cogitus sum.“ (1Cor 13,12). Paulus stellt hier antithetisch die irdische Welt der </w:t>
      </w:r>
      <w:r>
        <w:rPr>
          <w:rFonts w:ascii="Times New Roman" w:eastAsia="MS Mincho" w:hAnsi="Times New Roman" w:cs="Times New Roman"/>
          <w:sz w:val="24"/>
        </w:rPr>
        <w:lastRenderedPageBreak/>
        <w:t>himmlischen gegenüber, wobei diese sich in jener änigmatisch „spiegelt“, d.h. rätselhaft andeutet.</w:t>
      </w:r>
      <w:r>
        <w:rPr>
          <w:rStyle w:val="Funotenzeichen"/>
          <w:rFonts w:ascii="Times New Roman" w:eastAsia="MS Mincho" w:hAnsi="Times New Roman" w:cs="Times New Roman"/>
          <w:sz w:val="24"/>
        </w:rPr>
        <w:footnoteReference w:id="33"/>
      </w:r>
      <w:r>
        <w:rPr>
          <w:rFonts w:ascii="Times New Roman" w:eastAsia="MS Mincho" w:hAnsi="Times New Roman" w:cs="Times New Roman"/>
          <w:sz w:val="24"/>
        </w:rPr>
        <w:t xml:space="preserve"> Das Irdische verweist somit als Stückwerk („ex parte“) auf die Totalität des Himmlischen und wird von daher im Sinne der „Signatur“ verstanden, als „gwisses Kennzeichen zur ewigen Glory“, wie Megerle schreibt.</w:t>
      </w:r>
      <w:r>
        <w:rPr>
          <w:rStyle w:val="Funotenzeichen"/>
          <w:rFonts w:ascii="Times New Roman" w:eastAsia="MS Mincho" w:hAnsi="Times New Roman" w:cs="Times New Roman"/>
          <w:sz w:val="24"/>
        </w:rPr>
        <w:footnoteReference w:id="34"/>
      </w:r>
      <w:r>
        <w:rPr>
          <w:rFonts w:ascii="Times New Roman" w:eastAsia="MS Mincho" w:hAnsi="Times New Roman" w:cs="Times New Roman"/>
          <w:sz w:val="24"/>
        </w:rPr>
        <w:t xml:space="preserve"> Die Verwandtschaft der Begriffe speculum und speculatio</w:t>
      </w:r>
      <w:r>
        <w:rPr>
          <w:rStyle w:val="Funotenzeichen"/>
          <w:rFonts w:ascii="Times New Roman" w:eastAsia="MS Mincho" w:hAnsi="Times New Roman" w:cs="Times New Roman"/>
          <w:sz w:val="24"/>
        </w:rPr>
        <w:footnoteReference w:id="35"/>
      </w:r>
      <w:r>
        <w:rPr>
          <w:rFonts w:ascii="Times New Roman" w:eastAsia="MS Mincho" w:hAnsi="Times New Roman" w:cs="Times New Roman"/>
          <w:sz w:val="24"/>
        </w:rPr>
        <w:t xml:space="preserve"> betont in scholastischer und mystischer Tradition die alle Erfahrung überschreitende „Ausschau“ nach der göttlichen Wahrheit. Deren im speculum/Spiegel geschauter „vorbildlicher“ Wert führt ferner zum Verständnis des Spiegels im Sinne von Beispiel, Muster oder Vorbild, womit der Zirkel zum Titel lehrhafter Bücher geschlossen wäre.</w:t>
      </w: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 xml:space="preserve">Megerle hinterlässt nach seinen eigenen Worten mit dem </w:t>
      </w:r>
      <w:r>
        <w:rPr>
          <w:rFonts w:ascii="Times New Roman" w:eastAsia="MS Mincho" w:hAnsi="Times New Roman" w:cs="Times New Roman"/>
          <w:i/>
          <w:iCs/>
          <w:sz w:val="24"/>
        </w:rPr>
        <w:t>Speculum</w:t>
      </w:r>
      <w:r>
        <w:rPr>
          <w:rFonts w:ascii="Times New Roman" w:eastAsia="MS Mincho" w:hAnsi="Times New Roman" w:cs="Times New Roman"/>
          <w:sz w:val="24"/>
        </w:rPr>
        <w:t xml:space="preserve"> den</w:t>
      </w:r>
    </w:p>
    <w:p w:rsidR="00033488" w:rsidRDefault="00033488" w:rsidP="00033488">
      <w:pPr>
        <w:pStyle w:val="NurText"/>
        <w:ind w:left="284"/>
        <w:jc w:val="both"/>
        <w:rPr>
          <w:rFonts w:ascii="Times New Roman" w:eastAsia="MS Mincho" w:hAnsi="Times New Roman" w:cs="Times New Roman"/>
          <w:sz w:val="24"/>
          <w:lang w:val="it-IT"/>
        </w:rPr>
      </w:pPr>
      <w:r>
        <w:rPr>
          <w:rFonts w:ascii="Times New Roman" w:eastAsia="MS Mincho" w:hAnsi="Times New Roman" w:cs="Times New Roman"/>
          <w:sz w:val="24"/>
        </w:rPr>
        <w:t xml:space="preserve">„in Gott geliebten Brüdern und Schwestern / zu einem freundlichen Valete gegenwärtigen Todtenspiegel / mit dreyzehen Kupferstich / Teutsch vnd Lateinisch; dass sie desto bequemer / so wol meiner / als auch jhrer selbsten in das künfftig mögen gedencken / sich darinn wolbedächtlich spiegeln / die Eytelkeit der jrdischen Dingen / vnd zergänglichen Frewden wol behertzigen / vnnd was reiffers betrachten / auff dass sie von grund jhres Hertzens / mit dem allerweisisten König Salomon zeitlich [= frühzeitig] vor jhrem letzten End mögen aufschreyen: Vanitas Vanitatum &amp; omnia Vanitas Vnd mit dem gottseligen Geistreichen Thoma de Kempis hinzusetzen. </w:t>
      </w:r>
      <w:proofErr w:type="gramStart"/>
      <w:r>
        <w:rPr>
          <w:rFonts w:ascii="Times New Roman" w:eastAsia="MS Mincho" w:hAnsi="Times New Roman" w:cs="Times New Roman"/>
          <w:sz w:val="24"/>
          <w:lang w:val="it-IT"/>
        </w:rPr>
        <w:t>Praeter amare DEVM &amp; illi soli</w:t>
      </w:r>
      <w:proofErr w:type="gramEnd"/>
      <w:r>
        <w:rPr>
          <w:rFonts w:ascii="Times New Roman" w:eastAsia="MS Mincho" w:hAnsi="Times New Roman" w:cs="Times New Roman"/>
          <w:sz w:val="24"/>
          <w:lang w:val="it-IT"/>
        </w:rPr>
        <w:t xml:space="preserve"> servire.”</w:t>
      </w:r>
      <w:r>
        <w:rPr>
          <w:rStyle w:val="Funotenzeichen"/>
          <w:rFonts w:ascii="Times New Roman" w:eastAsia="MS Mincho" w:hAnsi="Times New Roman" w:cs="Times New Roman"/>
          <w:sz w:val="24"/>
          <w:lang w:val="it-IT"/>
        </w:rPr>
        <w:footnoteReference w:id="36"/>
      </w:r>
    </w:p>
    <w:p w:rsidR="00033488" w:rsidRDefault="00033488" w:rsidP="00033488">
      <w:pPr>
        <w:pStyle w:val="NurText"/>
        <w:ind w:firstLine="284"/>
        <w:jc w:val="both"/>
        <w:rPr>
          <w:rFonts w:ascii="Times New Roman" w:eastAsia="MS Mincho" w:hAnsi="Times New Roman" w:cs="Times New Roman"/>
          <w:sz w:val="24"/>
          <w:lang w:val="it-IT"/>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 xml:space="preserve">Diese Sätze deuten bereits an, dass neben den Toten- und Musik-“Spiegeln“ noch andere literarische Traditionen für Megerles Schrift in Betracht kommen: die Contemptus mundi-, Ars moriendi-, Memento mori- und Vado mori-Literatur sowie der Totentanz, </w:t>
      </w:r>
      <w:r w:rsidR="00022F4B">
        <w:rPr>
          <w:rFonts w:ascii="Times New Roman" w:eastAsia="MS Mincho" w:hAnsi="Times New Roman" w:cs="Times New Roman"/>
          <w:sz w:val="24"/>
        </w:rPr>
        <w:t>und nicht zuletzt</w:t>
      </w:r>
      <w:r>
        <w:rPr>
          <w:rFonts w:ascii="Times New Roman" w:eastAsia="MS Mincho" w:hAnsi="Times New Roman" w:cs="Times New Roman"/>
          <w:sz w:val="24"/>
        </w:rPr>
        <w:t xml:space="preserve"> die verschiedenen Arten von Emblembüchern. Mit Ausnahme der Emblembücher sind alle diese Traditionen bereits im Mittelalter lebendig. Sie lassen sich insgesamt als religiöse Andachtsliteratur beschreiben, die sich seit den Reformen des Konzils von Trient (1545-1563) zu neuer Blüte entfaltete. In Megerles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tritt die Verachtung der diesseitigen Welt, wie sie der Contemptus mundi thematisiert</w:t>
      </w:r>
      <w:r>
        <w:rPr>
          <w:rStyle w:val="Funotenzeichen"/>
          <w:rFonts w:ascii="Times New Roman" w:eastAsia="MS Mincho" w:hAnsi="Times New Roman" w:cs="Times New Roman"/>
          <w:sz w:val="24"/>
        </w:rPr>
        <w:footnoteReference w:id="37"/>
      </w:r>
      <w:r>
        <w:rPr>
          <w:rFonts w:ascii="Times New Roman" w:eastAsia="MS Mincho" w:hAnsi="Times New Roman" w:cs="Times New Roman"/>
          <w:sz w:val="24"/>
        </w:rPr>
        <w:t>, nur gelegentlich in den Vordergrund. So findet sich im Gebet zum sechsten Totenkopf die Bitte, „dass  ich der schnöden Welt Liebkosen verachte, die gefährliche Stachel deß Fleisch demme“, im Gebet zum siebten Totenkopf die Bitte, „du wöllest mich von meinem Madensack / vnd verdrüßlichen Banden meines Leibs aufflösen“.</w:t>
      </w:r>
      <w:r>
        <w:rPr>
          <w:rStyle w:val="Funotenzeichen"/>
          <w:rFonts w:ascii="Times New Roman" w:eastAsia="MS Mincho" w:hAnsi="Times New Roman" w:cs="Times New Roman"/>
          <w:sz w:val="24"/>
        </w:rPr>
        <w:footnoteReference w:id="38"/>
      </w:r>
      <w:r>
        <w:rPr>
          <w:rFonts w:ascii="Times New Roman" w:eastAsia="MS Mincho" w:hAnsi="Times New Roman" w:cs="Times New Roman"/>
          <w:sz w:val="24"/>
        </w:rPr>
        <w:t xml:space="preserve"> Eine gewisse, wenngleich gemäßigte Verachtung spricht Megerle im zehnten Totenkopfbild und -gedicht auch gegenüber Würdezeichen wie dem „Cardinal Huet“  aus, der „wie ein Blum verwelcken Thut“ und „als ein </w:t>
      </w:r>
      <w:r>
        <w:rPr>
          <w:rFonts w:ascii="Times New Roman" w:eastAsia="MS Mincho" w:hAnsi="Times New Roman" w:cs="Times New Roman"/>
          <w:sz w:val="24"/>
        </w:rPr>
        <w:lastRenderedPageBreak/>
        <w:t>Ballen“ vom Tod weggestoßen wird.</w:t>
      </w:r>
      <w:r>
        <w:rPr>
          <w:rStyle w:val="Funotenzeichen"/>
          <w:rFonts w:ascii="Times New Roman" w:eastAsia="MS Mincho" w:hAnsi="Times New Roman" w:cs="Times New Roman"/>
          <w:sz w:val="24"/>
        </w:rPr>
        <w:footnoteReference w:id="39"/>
      </w:r>
      <w:r>
        <w:rPr>
          <w:rFonts w:ascii="Times New Roman" w:eastAsia="MS Mincho" w:hAnsi="Times New Roman" w:cs="Times New Roman"/>
          <w:sz w:val="24"/>
        </w:rPr>
        <w:t xml:space="preserve"> Der Kardinalshut veranschaulicht, wie andere priesterliche Kleidungsstücke, auch Helmdeck und Wappen, den hohen Stand des Autors in diesem Leben, dem vom Tod, entsprechend der antiken und barocken Tragödientheorie, ein desto gewaltigerer Sturz (von der Peripetie zur Katastrophe) bereitet wird.</w:t>
      </w:r>
      <w:r>
        <w:rPr>
          <w:rStyle w:val="Funotenzeichen"/>
          <w:rFonts w:ascii="Times New Roman" w:eastAsia="MS Mincho" w:hAnsi="Times New Roman" w:cs="Times New Roman"/>
          <w:sz w:val="24"/>
        </w:rPr>
        <w:footnoteReference w:id="40"/>
      </w:r>
      <w:r>
        <w:rPr>
          <w:rFonts w:ascii="Times New Roman" w:eastAsia="MS Mincho" w:hAnsi="Times New Roman" w:cs="Times New Roman"/>
          <w:sz w:val="24"/>
        </w:rPr>
        <w:t xml:space="preserve"> Freilich kennt, ja bevorzugt Megerles antithetische Betrachtungsweise dann auch die Ausrichtung von der Katastrophe des Todes zum ewigen Leben, so im Gebet zum siebten Totenkopf, wo er Christus um den Tod bittet, „auff dass  ich dich von grund vnd tieffe meines Hertzens / in dem himmlischen Jerusalem / in der Außerwählten Tempel Syon / ewiglich loben / preysen vnd anbeten könne.“</w:t>
      </w:r>
      <w:r>
        <w:rPr>
          <w:rStyle w:val="Funotenzeichen"/>
          <w:rFonts w:ascii="Times New Roman" w:eastAsia="MS Mincho" w:hAnsi="Times New Roman" w:cs="Times New Roman"/>
          <w:sz w:val="24"/>
        </w:rPr>
        <w:footnoteReference w:id="41"/>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Megerles dialektische Todesmeditation dient sowohl der Kunst des rechten Sterbens (ars moriendi) als auch der Kunst des heilsamen Lebens, wie Memento - und Vado mori und der Totentanz. Als einen in der ars moriendi</w:t>
      </w:r>
      <w:r>
        <w:rPr>
          <w:rStyle w:val="Funotenzeichen"/>
          <w:rFonts w:ascii="Times New Roman" w:eastAsia="MS Mincho" w:hAnsi="Times New Roman" w:cs="Times New Roman"/>
          <w:sz w:val="24"/>
        </w:rPr>
        <w:footnoteReference w:id="42"/>
      </w:r>
      <w:r>
        <w:rPr>
          <w:rFonts w:ascii="Times New Roman" w:eastAsia="MS Mincho" w:hAnsi="Times New Roman" w:cs="Times New Roman"/>
          <w:sz w:val="24"/>
        </w:rPr>
        <w:t xml:space="preserve"> Erfahrenen, der „das Ziel des Lebens nach so vielen Jahren (Reinigungsopfern) erreicht“ hat, stellt Megerle sich in der „Apostrophe ex tumba“ dar.</w:t>
      </w:r>
      <w:r>
        <w:rPr>
          <w:rStyle w:val="Funotenzeichen"/>
          <w:rFonts w:ascii="Times New Roman" w:eastAsia="MS Mincho" w:hAnsi="Times New Roman" w:cs="Times New Roman"/>
          <w:sz w:val="24"/>
        </w:rPr>
        <w:footnoteReference w:id="43"/>
      </w:r>
      <w:r>
        <w:rPr>
          <w:rFonts w:ascii="Times New Roman" w:eastAsia="MS Mincho" w:hAnsi="Times New Roman" w:cs="Times New Roman"/>
          <w:sz w:val="24"/>
        </w:rPr>
        <w:t xml:space="preserve"> Der Vorbereitung eines guten Todes („sonderlich an deinem letzten End“</w:t>
      </w:r>
      <w:r>
        <w:rPr>
          <w:rStyle w:val="Funotenzeichen"/>
          <w:rFonts w:ascii="Times New Roman" w:eastAsia="MS Mincho" w:hAnsi="Times New Roman" w:cs="Times New Roman"/>
          <w:sz w:val="24"/>
        </w:rPr>
        <w:footnoteReference w:id="44"/>
      </w:r>
      <w:r>
        <w:rPr>
          <w:rFonts w:ascii="Times New Roman" w:eastAsia="MS Mincho" w:hAnsi="Times New Roman" w:cs="Times New Roman"/>
          <w:sz w:val="24"/>
        </w:rPr>
        <w:t xml:space="preserve">) dienen auch das ausführlich referierte </w:t>
      </w:r>
      <w:r>
        <w:rPr>
          <w:rFonts w:ascii="Times New Roman" w:eastAsia="MS Mincho" w:hAnsi="Times New Roman" w:cs="Times New Roman"/>
          <w:i/>
          <w:iCs/>
          <w:sz w:val="24"/>
        </w:rPr>
        <w:t>Electuarium</w:t>
      </w:r>
      <w:r w:rsidR="00A2115B">
        <w:rPr>
          <w:rFonts w:ascii="Times New Roman" w:eastAsia="MS Mincho" w:hAnsi="Times New Roman" w:cs="Times New Roman"/>
          <w:i/>
          <w:iCs/>
          <w:sz w:val="24"/>
        </w:rPr>
        <w:t xml:space="preserve">, </w:t>
      </w:r>
      <w:r w:rsidR="00A2115B" w:rsidRPr="00A2115B">
        <w:rPr>
          <w:rFonts w:ascii="Times New Roman" w:eastAsia="MS Mincho" w:hAnsi="Times New Roman" w:cs="Times New Roman"/>
          <w:iCs/>
          <w:sz w:val="24"/>
        </w:rPr>
        <w:t xml:space="preserve">ein von </w:t>
      </w:r>
      <w:r w:rsidR="00A2115B">
        <w:rPr>
          <w:rFonts w:ascii="Times New Roman" w:eastAsia="MS Mincho" w:hAnsi="Times New Roman" w:cs="Times New Roman"/>
          <w:iCs/>
          <w:sz w:val="24"/>
        </w:rPr>
        <w:t>ihm verfasstes geistliches Kräu</w:t>
      </w:r>
      <w:r w:rsidR="00A2115B" w:rsidRPr="00A2115B">
        <w:rPr>
          <w:rFonts w:ascii="Times New Roman" w:eastAsia="MS Mincho" w:hAnsi="Times New Roman" w:cs="Times New Roman"/>
          <w:iCs/>
          <w:sz w:val="24"/>
        </w:rPr>
        <w:t>terbuch</w:t>
      </w:r>
      <w:r>
        <w:rPr>
          <w:rFonts w:ascii="Times New Roman" w:eastAsia="MS Mincho" w:hAnsi="Times New Roman" w:cs="Times New Roman"/>
          <w:i/>
          <w:iCs/>
          <w:sz w:val="24"/>
        </w:rPr>
        <w:t xml:space="preserve"> </w:t>
      </w:r>
      <w:r>
        <w:rPr>
          <w:rFonts w:ascii="Times New Roman" w:eastAsia="MS Mincho" w:hAnsi="Times New Roman" w:cs="Times New Roman"/>
          <w:sz w:val="24"/>
        </w:rPr>
        <w:t>über die Namen Jesus und Maria sowie die lateinischen und deutschen Gebete zu den einzelnen Totenköpfen. Stets variieren sie das Thema des guten Übergangs von diesem zu jenem Leben durch die Hilfe Jesu und Mariae.</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Das Memento mori</w:t>
      </w:r>
      <w:r>
        <w:rPr>
          <w:rStyle w:val="Funotenzeichen"/>
          <w:rFonts w:ascii="Times New Roman" w:eastAsia="MS Mincho" w:hAnsi="Times New Roman" w:cs="Times New Roman"/>
          <w:sz w:val="24"/>
        </w:rPr>
        <w:footnoteReference w:id="45"/>
      </w:r>
      <w:r>
        <w:rPr>
          <w:rFonts w:ascii="Times New Roman" w:eastAsia="MS Mincho" w:hAnsi="Times New Roman" w:cs="Times New Roman"/>
          <w:sz w:val="24"/>
        </w:rPr>
        <w:t xml:space="preserve"> im Sinne einer predigthaften Todesmeditation und daraus entspringenden Belehrung für die Hinterbliebenen durchzieht fast alle Teile des Buches, nicht zuletzt die Gedichte zu den Totenkopfbildern. Dabei treten mitunter bestimmte traditionelle Todesmetaphern in den Vordergrund, etwa die Kerze (Nr. 1), die Totenglocke (Nr. 2), Uhr und Blume (Nr. 10), im weiteren Sinne auch die Musikinstrumente. Alle diese Dinge sind Symbole der Vergänglichkeit, verweisen aber (zumindest indirekt) auch auf die ewige Seligkeit. Besonders deutlich wird dies im Fall der Kerze, die sich einerseits als „brinnendes Liecht“ verzehrt</w:t>
      </w:r>
      <w:r>
        <w:rPr>
          <w:rStyle w:val="Funotenzeichen"/>
          <w:rFonts w:ascii="Times New Roman" w:eastAsia="MS Mincho" w:hAnsi="Times New Roman" w:cs="Times New Roman"/>
          <w:sz w:val="24"/>
        </w:rPr>
        <w:footnoteReference w:id="46"/>
      </w:r>
      <w:r>
        <w:rPr>
          <w:rFonts w:ascii="Times New Roman" w:eastAsia="MS Mincho" w:hAnsi="Times New Roman" w:cs="Times New Roman"/>
          <w:sz w:val="24"/>
        </w:rPr>
        <w:t>, andererseits als „Osterkertzen“</w:t>
      </w:r>
      <w:r>
        <w:rPr>
          <w:rStyle w:val="Funotenzeichen"/>
          <w:rFonts w:ascii="Times New Roman" w:eastAsia="MS Mincho" w:hAnsi="Times New Roman" w:cs="Times New Roman"/>
          <w:sz w:val="24"/>
        </w:rPr>
        <w:footnoteReference w:id="47"/>
      </w:r>
      <w:r>
        <w:rPr>
          <w:rFonts w:ascii="Times New Roman" w:eastAsia="MS Mincho" w:hAnsi="Times New Roman" w:cs="Times New Roman"/>
          <w:sz w:val="24"/>
        </w:rPr>
        <w:t xml:space="preserve"> ein </w:t>
      </w:r>
      <w:r>
        <w:rPr>
          <w:rFonts w:ascii="Times New Roman" w:eastAsia="MS Mincho" w:hAnsi="Times New Roman" w:cs="Times New Roman"/>
          <w:sz w:val="24"/>
        </w:rPr>
        <w:lastRenderedPageBreak/>
        <w:t>Symbol der Auferstehung und des ewigen Lichtes ist</w:t>
      </w:r>
      <w:r>
        <w:rPr>
          <w:rStyle w:val="Funotenzeichen"/>
          <w:rFonts w:ascii="Times New Roman" w:eastAsia="MS Mincho" w:hAnsi="Times New Roman" w:cs="Times New Roman"/>
          <w:sz w:val="24"/>
        </w:rPr>
        <w:footnoteReference w:id="48"/>
      </w:r>
      <w:r>
        <w:rPr>
          <w:rFonts w:ascii="Times New Roman" w:eastAsia="MS Mincho" w:hAnsi="Times New Roman" w:cs="Times New Roman"/>
          <w:sz w:val="24"/>
        </w:rPr>
        <w:t>, von dem der zitierte Requiemtext mehrfach spricht; nicht zuletzt symbolisiert ihr Brand die sich verzehrende, aber dabei die Menschheit erlösende Liebe Christi, die auf die Menschen zu ihrem Heil überspringt und sie „den Himmel ... gwinnen“ läßt.</w:t>
      </w:r>
      <w:r>
        <w:rPr>
          <w:rStyle w:val="Funotenzeichen"/>
          <w:rFonts w:ascii="Times New Roman" w:eastAsia="MS Mincho" w:hAnsi="Times New Roman" w:cs="Times New Roman"/>
          <w:sz w:val="24"/>
        </w:rPr>
        <w:footnoteReference w:id="49"/>
      </w:r>
      <w:r>
        <w:rPr>
          <w:rFonts w:ascii="Times New Roman" w:eastAsia="MS Mincho" w:hAnsi="Times New Roman" w:cs="Times New Roman"/>
          <w:sz w:val="24"/>
        </w:rPr>
        <w:t xml:space="preserve"> Für Megerle hatte diese Metapher eine besondere Bedeutung, da er sich zeitlebens von Marias und „Gottes Lieb ganz angezündt“ sah, sich mehrfach mit brennendem Herzen porträtieren ließ</w:t>
      </w:r>
      <w:r>
        <w:rPr>
          <w:rStyle w:val="Funotenzeichen"/>
          <w:rFonts w:ascii="Times New Roman" w:eastAsia="MS Mincho" w:hAnsi="Times New Roman" w:cs="Times New Roman"/>
          <w:sz w:val="24"/>
        </w:rPr>
        <w:footnoteReference w:id="50"/>
      </w:r>
      <w:r>
        <w:rPr>
          <w:rFonts w:ascii="Times New Roman" w:eastAsia="MS Mincho" w:hAnsi="Times New Roman" w:cs="Times New Roman"/>
          <w:sz w:val="24"/>
        </w:rPr>
        <w:t xml:space="preserve"> und von Abraham a Sancta Clara in dessen </w:t>
      </w:r>
      <w:r>
        <w:rPr>
          <w:rFonts w:ascii="Times New Roman" w:eastAsia="MS Mincho" w:hAnsi="Times New Roman" w:cs="Times New Roman"/>
          <w:i/>
          <w:iCs/>
          <w:sz w:val="24"/>
        </w:rPr>
        <w:t>Epitome elogiorum</w:t>
      </w:r>
      <w:r>
        <w:rPr>
          <w:rFonts w:ascii="Times New Roman" w:eastAsia="MS Mincho" w:hAnsi="Times New Roman" w:cs="Times New Roman"/>
          <w:sz w:val="24"/>
        </w:rPr>
        <w:t xml:space="preserve"> als einer beschrieben wird, dessen Marienliebe (als Salzburger Kanonikus zu Maria Schnee) wie ein knisterndes Salzkorn im Schnee brannte („Ardere Salisburgensium nivium medius ferventis instar salis crepitans visus est“).</w:t>
      </w:r>
      <w:r>
        <w:rPr>
          <w:rStyle w:val="Funotenzeichen"/>
          <w:rFonts w:ascii="Times New Roman" w:eastAsia="MS Mincho" w:hAnsi="Times New Roman" w:cs="Times New Roman"/>
          <w:sz w:val="24"/>
        </w:rPr>
        <w:footnoteReference w:id="51"/>
      </w:r>
      <w:r>
        <w:rPr>
          <w:rFonts w:ascii="Times New Roman" w:eastAsia="MS Mincho" w:hAnsi="Times New Roman" w:cs="Times New Roman"/>
          <w:sz w:val="24"/>
        </w:rPr>
        <w:t xml:space="preserve">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Die Sterbemetapher der „Raißuhr“, in </w:t>
      </w:r>
      <w:proofErr w:type="gramStart"/>
      <w:r>
        <w:rPr>
          <w:rFonts w:ascii="Times New Roman" w:eastAsia="MS Mincho" w:hAnsi="Times New Roman" w:cs="Times New Roman"/>
          <w:sz w:val="24"/>
        </w:rPr>
        <w:t>der</w:t>
      </w:r>
      <w:proofErr w:type="gramEnd"/>
      <w:r>
        <w:rPr>
          <w:rFonts w:ascii="Times New Roman" w:eastAsia="MS Mincho" w:hAnsi="Times New Roman" w:cs="Times New Roman"/>
          <w:sz w:val="24"/>
        </w:rPr>
        <w:t xml:space="preserve"> Sand reist</w:t>
      </w:r>
      <w:r>
        <w:rPr>
          <w:rStyle w:val="Funotenzeichen"/>
          <w:rFonts w:ascii="Times New Roman" w:eastAsia="MS Mincho" w:hAnsi="Times New Roman" w:cs="Times New Roman"/>
          <w:sz w:val="24"/>
        </w:rPr>
        <w:footnoteReference w:id="52"/>
      </w:r>
      <w:r>
        <w:rPr>
          <w:rFonts w:ascii="Times New Roman" w:eastAsia="MS Mincho" w:hAnsi="Times New Roman" w:cs="Times New Roman"/>
          <w:sz w:val="24"/>
        </w:rPr>
        <w:t>, unterstreicht das Zum-Tod-Gehen bzw. Sterben-Gehen und damit die Tradition des Vado mori.</w:t>
      </w:r>
      <w:r>
        <w:rPr>
          <w:rStyle w:val="Funotenzeichen"/>
          <w:rFonts w:ascii="Times New Roman" w:eastAsia="MS Mincho" w:hAnsi="Times New Roman" w:cs="Times New Roman"/>
          <w:sz w:val="24"/>
        </w:rPr>
        <w:footnoteReference w:id="53"/>
      </w:r>
      <w:r>
        <w:rPr>
          <w:rFonts w:ascii="Times New Roman" w:eastAsia="MS Mincho" w:hAnsi="Times New Roman" w:cs="Times New Roman"/>
          <w:sz w:val="24"/>
        </w:rPr>
        <w:t xml:space="preserve"> Megerle legt auf diesen Aspekt im </w:t>
      </w:r>
      <w:r>
        <w:rPr>
          <w:rFonts w:ascii="Times New Roman" w:eastAsia="MS Mincho" w:hAnsi="Times New Roman" w:cs="Times New Roman"/>
          <w:i/>
          <w:iCs/>
          <w:sz w:val="24"/>
        </w:rPr>
        <w:t>Speculum</w:t>
      </w:r>
      <w:r>
        <w:rPr>
          <w:rFonts w:ascii="Times New Roman" w:eastAsia="MS Mincho" w:hAnsi="Times New Roman" w:cs="Times New Roman"/>
          <w:sz w:val="24"/>
        </w:rPr>
        <w:t xml:space="preserve"> besonderen Wert. Mehrfach nimmt er vor seiner letzten Reise ausdrücklich Abschied: auf dem Titelblatt („qua valedixit Mundo“), in der Apostrophe (S. 3 und 4), in der deutschen Vorrede (S. 5 und 11f.) sowie im dritten, vierten und letzten Gedicht.</w:t>
      </w:r>
      <w:r>
        <w:rPr>
          <w:rStyle w:val="Funotenzeichen"/>
          <w:rFonts w:ascii="Times New Roman" w:eastAsia="MS Mincho" w:hAnsi="Times New Roman" w:cs="Times New Roman"/>
          <w:sz w:val="24"/>
        </w:rPr>
        <w:footnoteReference w:id="54"/>
      </w:r>
      <w:r>
        <w:rPr>
          <w:rFonts w:ascii="Times New Roman" w:eastAsia="MS Mincho" w:hAnsi="Times New Roman" w:cs="Times New Roman"/>
          <w:sz w:val="24"/>
        </w:rPr>
        <w:t xml:space="preserve"> Der Abschied von seinen Mitkanonikern in der Apostrophe erfolgt zudem, während sie ihrerseits zu seinem Grab schreiten („ad Tumbam meam gradum“). Diese Bewegung ist für Megerle der eigentliche Gang aller Sterblichen, die ihm als Wanderer („viator“) erscheinen. Dabei steht der Psalmvers (22,4) im Hintergrund: „Und müßt ich auch wandern in Todesschatten, ich fürchte kein Unheil; denn du bist bei mir, dein Stock und dein Stab, sie geben mir Zuversicht.“ Auch im weiteren Verlauf der Apostrophe verfolgt Megerle die Metapher der Fortbewegung zum Tod, wobei er lehrhafte Ermahnungen anbringt: </w:t>
      </w:r>
    </w:p>
    <w:p w:rsidR="00033488" w:rsidRDefault="00033488" w:rsidP="00033488">
      <w:pPr>
        <w:pStyle w:val="NurText"/>
        <w:ind w:left="284"/>
        <w:jc w:val="both"/>
        <w:rPr>
          <w:rFonts w:ascii="Times New Roman" w:eastAsia="MS Mincho" w:hAnsi="Times New Roman" w:cs="Times New Roman"/>
          <w:sz w:val="24"/>
        </w:rPr>
      </w:pPr>
      <w:r>
        <w:rPr>
          <w:rFonts w:ascii="Times New Roman" w:eastAsia="MS Mincho" w:hAnsi="Times New Roman" w:cs="Times New Roman"/>
          <w:sz w:val="24"/>
        </w:rPr>
        <w:t>„Glückselig bin ich in das Haus der Ewigkeit eingetreten. Ihr alle werdet früher oder später folgen. Wann? Es ist ungewiß; gewiß aber ist, dass  ihr folgen werdet. Denn allen Menschen ist ein für allemal bestimmt zu sterben. ... Ob du willst oder nicht, es ist notwendig, dein Gepäck zusammen zu suchen. Wenn du klug bist, sei wachsam.“</w:t>
      </w:r>
      <w:r>
        <w:rPr>
          <w:rStyle w:val="Funotenzeichen"/>
          <w:rFonts w:ascii="Times New Roman" w:eastAsia="MS Mincho" w:hAnsi="Times New Roman" w:cs="Times New Roman"/>
          <w:sz w:val="24"/>
        </w:rPr>
        <w:footnoteReference w:id="55"/>
      </w:r>
    </w:p>
    <w:p w:rsidR="00033488" w:rsidRDefault="00033488" w:rsidP="00033488">
      <w:pPr>
        <w:pStyle w:val="NurText"/>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lastRenderedPageBreak/>
        <w:t>Auch in der deutschen Vorrede, in der er von 19 Frauenklöstern ein „letztes Urlaub“ nimmt, benutzt Megerle öfter die Metapher der Reise, die jetzt über den Weg zum Grab hinaus den Weg zur ewigen Seligkeit, notfalls mit dem Umweg über das Fegefeuer, miteinbezieht:</w:t>
      </w:r>
    </w:p>
    <w:p w:rsidR="00033488" w:rsidRDefault="00033488" w:rsidP="00033488">
      <w:pPr>
        <w:pStyle w:val="NurText"/>
        <w:ind w:left="284"/>
        <w:jc w:val="both"/>
        <w:rPr>
          <w:rFonts w:ascii="Times New Roman" w:eastAsia="MS Mincho" w:hAnsi="Times New Roman" w:cs="Times New Roman"/>
          <w:sz w:val="24"/>
        </w:rPr>
      </w:pPr>
      <w:r>
        <w:rPr>
          <w:rFonts w:ascii="Times New Roman" w:eastAsia="MS Mincho" w:hAnsi="Times New Roman" w:cs="Times New Roman"/>
          <w:sz w:val="24"/>
        </w:rPr>
        <w:t xml:space="preserve">„Wolan ich rayse dahin / auff dem Weeg der Ewigkeit / mit höchsten Frewden / zu der ewigen Seeligkeit. Behüte Euch GOtt vnd Maria / die stehe vns bey </w:t>
      </w:r>
      <w:proofErr w:type="gramStart"/>
      <w:r>
        <w:rPr>
          <w:rFonts w:ascii="Times New Roman" w:eastAsia="MS Mincho" w:hAnsi="Times New Roman" w:cs="Times New Roman"/>
          <w:sz w:val="24"/>
        </w:rPr>
        <w:t>in vnserm letzten</w:t>
      </w:r>
      <w:proofErr w:type="gramEnd"/>
      <w:r>
        <w:rPr>
          <w:rFonts w:ascii="Times New Roman" w:eastAsia="MS Mincho" w:hAnsi="Times New Roman" w:cs="Times New Roman"/>
          <w:sz w:val="24"/>
        </w:rPr>
        <w:t xml:space="preserve"> End vnd Streit. Im fahl / dass  ich vnderwegs wurd auffgehalten / wider all mein verhoffen / so kommet mir zeitlich zu hülff / mit ewerm eyfrigen Gebett / vnd Bußwercken“</w:t>
      </w:r>
      <w:r>
        <w:rPr>
          <w:rStyle w:val="Funotenzeichen"/>
          <w:rFonts w:ascii="Times New Roman" w:eastAsia="MS Mincho" w:hAnsi="Times New Roman" w:cs="Times New Roman"/>
          <w:sz w:val="24"/>
        </w:rPr>
        <w:footnoteReference w:id="56"/>
      </w:r>
    </w:p>
    <w:p w:rsidR="00033488" w:rsidRDefault="00033488" w:rsidP="00033488">
      <w:pPr>
        <w:pStyle w:val="NurText"/>
        <w:ind w:firstLine="284"/>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Die autobiographischen Ausführungen in diesem Teil versteht er als eine Art Rundgang durch sein Leben; darauf deuten Ausdrücke hin wie: „Ich komme nunmehr ...“.</w:t>
      </w:r>
      <w:r>
        <w:rPr>
          <w:rStyle w:val="Funotenzeichen"/>
          <w:rFonts w:ascii="Times New Roman" w:eastAsia="MS Mincho" w:hAnsi="Times New Roman" w:cs="Times New Roman"/>
          <w:sz w:val="24"/>
        </w:rPr>
        <w:footnoteReference w:id="57"/>
      </w:r>
      <w:r>
        <w:rPr>
          <w:rFonts w:ascii="Times New Roman" w:eastAsia="MS Mincho" w:hAnsi="Times New Roman" w:cs="Times New Roman"/>
          <w:sz w:val="24"/>
        </w:rPr>
        <w:t xml:space="preserve"> Sein </w:t>
      </w:r>
      <w:r>
        <w:rPr>
          <w:rFonts w:ascii="Times New Roman" w:eastAsia="MS Mincho" w:hAnsi="Times New Roman" w:cs="Times New Roman"/>
          <w:i/>
          <w:iCs/>
          <w:sz w:val="24"/>
        </w:rPr>
        <w:t>Electuarium</w:t>
      </w:r>
      <w:r>
        <w:rPr>
          <w:rFonts w:ascii="Times New Roman" w:eastAsia="MS Mincho" w:hAnsi="Times New Roman" w:cs="Times New Roman"/>
          <w:sz w:val="24"/>
        </w:rPr>
        <w:t xml:space="preserve"> nützt sowohl in diesem Leben „zu Weeg vnd Steg / zu Wasser vnd Land“ als auch für jene „letzte vnd sehr gefährliche Raiß in die Ewigkeit.“</w:t>
      </w:r>
      <w:r>
        <w:rPr>
          <w:rStyle w:val="Funotenzeichen"/>
          <w:rFonts w:ascii="Times New Roman" w:eastAsia="MS Mincho" w:hAnsi="Times New Roman" w:cs="Times New Roman"/>
          <w:sz w:val="24"/>
        </w:rPr>
        <w:footnoteReference w:id="58"/>
      </w:r>
      <w:r>
        <w:rPr>
          <w:rFonts w:ascii="Times New Roman" w:eastAsia="MS Mincho" w:hAnsi="Times New Roman" w:cs="Times New Roman"/>
          <w:sz w:val="24"/>
        </w:rPr>
        <w:t xml:space="preserve"> So steht für Megerle das ganze Leben unter dem dynamisch-dramatischen Aspekt der Fortbewegung. Selbst die ewige Seligkeit kann er sich nur schwer als ewige Ruhe vorstellen. Obwohl er die entsprechenden Requiem-Formeln zitiert</w:t>
      </w:r>
      <w:r>
        <w:rPr>
          <w:rStyle w:val="Funotenzeichen"/>
          <w:rFonts w:ascii="Times New Roman" w:eastAsia="MS Mincho" w:hAnsi="Times New Roman" w:cs="Times New Roman"/>
          <w:sz w:val="24"/>
        </w:rPr>
        <w:footnoteReference w:id="59"/>
      </w:r>
      <w:r>
        <w:rPr>
          <w:rFonts w:ascii="Times New Roman" w:eastAsia="MS Mincho" w:hAnsi="Times New Roman" w:cs="Times New Roman"/>
          <w:sz w:val="24"/>
        </w:rPr>
        <w:t>, stellt er sich in der Apostrophe vor, als Kapellmeister dereinst aktiv die himmlischen Chöre zu dirigieren</w:t>
      </w:r>
      <w:r>
        <w:rPr>
          <w:rStyle w:val="Funotenzeichen"/>
          <w:rFonts w:ascii="Times New Roman" w:eastAsia="MS Mincho" w:hAnsi="Times New Roman" w:cs="Times New Roman"/>
          <w:sz w:val="24"/>
        </w:rPr>
        <w:footnoteReference w:id="60"/>
      </w:r>
      <w:r>
        <w:rPr>
          <w:rFonts w:ascii="Times New Roman" w:eastAsia="MS Mincho" w:hAnsi="Times New Roman" w:cs="Times New Roman"/>
          <w:sz w:val="24"/>
        </w:rPr>
        <w:t>, dort, wo „die Music vor allen Künsten den vorzug hat / vnd nimmer auffhört ewiglich.“</w:t>
      </w:r>
      <w:r>
        <w:rPr>
          <w:rStyle w:val="Funotenzeichen"/>
          <w:rFonts w:ascii="Times New Roman" w:eastAsia="MS Mincho" w:hAnsi="Times New Roman" w:cs="Times New Roman"/>
          <w:sz w:val="24"/>
        </w:rPr>
        <w:footnoteReference w:id="61"/>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Megerles Vergangenheit als Kapellmeister, dem es insbesondere um die Vermehrung der Instrumentalpflege zu tun war, verdanken sich die Instrumente in den Todtenkopfbildern und -gedichten. Sie stellen die weitaus häufigsten Motive, erscheinen in jedem Bild (außer im Titelkupfer) und gaben dem Titel der Schrift das Attribut „musico“. Tatsächlich spielen sie auch insofern eine zentrale Rolle, als die „vil vnterschiedliche Instrumenten“, „so ich in Lebszeiten zur Music gebraucht“, nicht nur eine autobiographische Summe darstellen, sondern auch Megerle „und andern zum Todtentantz ein anmutung“ sowie ein „gwisses Kenzeichen zur ewigen Glory“ sein sollen.</w:t>
      </w:r>
      <w:r>
        <w:rPr>
          <w:rStyle w:val="Funotenzeichen"/>
          <w:rFonts w:ascii="Times New Roman" w:eastAsia="MS Mincho" w:hAnsi="Times New Roman" w:cs="Times New Roman"/>
          <w:sz w:val="24"/>
        </w:rPr>
        <w:footnoteReference w:id="62"/>
      </w:r>
      <w:r>
        <w:rPr>
          <w:rFonts w:ascii="Times New Roman" w:eastAsia="MS Mincho" w:hAnsi="Times New Roman" w:cs="Times New Roman"/>
          <w:sz w:val="24"/>
        </w:rPr>
        <w:t xml:space="preserve"> Letzterer Aspekt überschreitet antithetisch die Gattung des Totentanzes, die auch insofern nicht gefüllt wird, als weder der Tod, noch andere Figuren personalisiert sind oder gar miteinander dialogisieren. So bleibt es bei der „anmutung“ zum Totentanz, der freilich trotzdem mit seiner reichen Tradition im Hintergrund präsent ist.</w:t>
      </w:r>
      <w:r>
        <w:rPr>
          <w:rStyle w:val="Funotenzeichen"/>
          <w:rFonts w:ascii="Times New Roman" w:eastAsia="MS Mincho" w:hAnsi="Times New Roman" w:cs="Times New Roman"/>
          <w:sz w:val="24"/>
        </w:rPr>
        <w:footnoteReference w:id="63"/>
      </w:r>
      <w:r>
        <w:rPr>
          <w:rFonts w:ascii="Times New Roman" w:eastAsia="MS Mincho" w:hAnsi="Times New Roman" w:cs="Times New Roman"/>
          <w:sz w:val="24"/>
        </w:rPr>
        <w:t xml:space="preserve"> Obwohl zu einem Tanz Instrumente notwendig sind und auch in verschiedenen Totentänzen bildlich und sprachlich entsprechend eingesetzt werden</w:t>
      </w:r>
      <w:r>
        <w:rPr>
          <w:rStyle w:val="Funotenzeichen"/>
          <w:rFonts w:ascii="Times New Roman" w:eastAsia="MS Mincho" w:hAnsi="Times New Roman" w:cs="Times New Roman"/>
          <w:sz w:val="24"/>
        </w:rPr>
        <w:footnoteReference w:id="64"/>
      </w:r>
      <w:r>
        <w:rPr>
          <w:rFonts w:ascii="Times New Roman" w:eastAsia="MS Mincho" w:hAnsi="Times New Roman" w:cs="Times New Roman"/>
          <w:sz w:val="24"/>
        </w:rPr>
        <w:t xml:space="preserve">, spielen sie in Megerles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nicht eigentlich zum Tod auf. Vielmehr bezieht Megerle sie in die </w:t>
      </w:r>
      <w:r>
        <w:rPr>
          <w:rFonts w:ascii="Times New Roman" w:eastAsia="MS Mincho" w:hAnsi="Times New Roman" w:cs="Times New Roman"/>
          <w:sz w:val="24"/>
        </w:rPr>
        <w:lastRenderedPageBreak/>
        <w:t>den Totentanz nur andeutende Form des Vado mori ein, indem er sie am Schluss mit den Worten anredet: „All Instrument kombt her zu mir“.</w:t>
      </w:r>
      <w:r>
        <w:rPr>
          <w:rStyle w:val="Funotenzeichen"/>
          <w:rFonts w:ascii="Times New Roman" w:eastAsia="MS Mincho" w:hAnsi="Times New Roman" w:cs="Times New Roman"/>
          <w:sz w:val="24"/>
        </w:rPr>
        <w:footnoteReference w:id="65"/>
      </w:r>
      <w:r>
        <w:rPr>
          <w:rFonts w:ascii="Times New Roman" w:eastAsia="MS Mincho" w:hAnsi="Times New Roman" w:cs="Times New Roman"/>
          <w:sz w:val="24"/>
        </w:rPr>
        <w:t xml:space="preserve"> Wie Megerles Mitbrüder eilen auch seine Instrumente zum Grab, nicht um zu musizieren, sondern, wie Megerle selbst, um zu „schweigen“ bzw. zu „pausiren“:</w:t>
      </w:r>
    </w:p>
    <w:p w:rsidR="00033488" w:rsidRDefault="00033488" w:rsidP="00033488">
      <w:pPr>
        <w:pStyle w:val="NurText"/>
        <w:ind w:left="284"/>
        <w:rPr>
          <w:rFonts w:ascii="Times New Roman" w:eastAsia="MS Mincho" w:hAnsi="Times New Roman" w:cs="Times New Roman"/>
          <w:sz w:val="24"/>
        </w:rPr>
      </w:pPr>
      <w:r>
        <w:rPr>
          <w:rFonts w:ascii="Times New Roman" w:eastAsia="MS Mincho" w:hAnsi="Times New Roman" w:cs="Times New Roman"/>
          <w:sz w:val="24"/>
        </w:rPr>
        <w:t>„Da Harpffn jhren Klang verlohren /</w:t>
      </w:r>
      <w:r>
        <w:rPr>
          <w:rFonts w:ascii="Times New Roman" w:eastAsia="MS Mincho" w:hAnsi="Times New Roman" w:cs="Times New Roman"/>
          <w:sz w:val="24"/>
        </w:rPr>
        <w:br/>
        <w:t>Triangel lernen schweigen</w:t>
      </w:r>
      <w:proofErr w:type="gramStart"/>
      <w:r>
        <w:rPr>
          <w:rFonts w:ascii="Times New Roman" w:eastAsia="MS Mincho" w:hAnsi="Times New Roman" w:cs="Times New Roman"/>
          <w:sz w:val="24"/>
        </w:rPr>
        <w:t>;</w:t>
      </w:r>
      <w:proofErr w:type="gramEnd"/>
      <w:r>
        <w:rPr>
          <w:rFonts w:ascii="Times New Roman" w:eastAsia="MS Mincho" w:hAnsi="Times New Roman" w:cs="Times New Roman"/>
          <w:sz w:val="24"/>
        </w:rPr>
        <w:br/>
        <w:t>Bin ich auch still / pausire vill</w:t>
      </w:r>
      <w:r>
        <w:rPr>
          <w:rFonts w:ascii="Times New Roman" w:eastAsia="MS Mincho" w:hAnsi="Times New Roman" w:cs="Times New Roman"/>
          <w:sz w:val="24"/>
        </w:rPr>
        <w:br/>
        <w:t>Mit Cyther vnd mit Geigen.“</w:t>
      </w:r>
      <w:r>
        <w:rPr>
          <w:rStyle w:val="Funotenzeichen"/>
          <w:rFonts w:ascii="Times New Roman" w:eastAsia="MS Mincho" w:hAnsi="Times New Roman" w:cs="Times New Roman"/>
          <w:sz w:val="24"/>
        </w:rPr>
        <w:footnoteReference w:id="66"/>
      </w:r>
    </w:p>
    <w:p w:rsidR="00033488" w:rsidRDefault="00033488" w:rsidP="00033488">
      <w:pPr>
        <w:pStyle w:val="NurText"/>
        <w:ind w:firstLine="284"/>
        <w:rPr>
          <w:rFonts w:ascii="Times New Roman" w:eastAsia="MS Mincho" w:hAnsi="Times New Roman" w:cs="Times New Roman"/>
          <w:sz w:val="24"/>
        </w:rPr>
      </w:pPr>
    </w:p>
    <w:p w:rsidR="00033488" w:rsidRDefault="00033488" w:rsidP="00033488">
      <w:pPr>
        <w:pStyle w:val="NurText"/>
        <w:rPr>
          <w:rFonts w:ascii="Times New Roman" w:eastAsia="MS Mincho" w:hAnsi="Times New Roman" w:cs="Times New Roman"/>
          <w:sz w:val="24"/>
        </w:rPr>
      </w:pPr>
      <w:r>
        <w:rPr>
          <w:rFonts w:ascii="Times New Roman" w:eastAsia="MS Mincho" w:hAnsi="Times New Roman" w:cs="Times New Roman"/>
          <w:sz w:val="24"/>
        </w:rPr>
        <w:t>In ähnlicher Weise heißt es zum achten Totenkopf:</w:t>
      </w:r>
    </w:p>
    <w:p w:rsidR="00033488" w:rsidRDefault="00033488" w:rsidP="00033488">
      <w:pPr>
        <w:pStyle w:val="NurText"/>
        <w:ind w:firstLine="284"/>
        <w:rPr>
          <w:rFonts w:ascii="Times New Roman" w:eastAsia="MS Mincho" w:hAnsi="Times New Roman" w:cs="Times New Roman"/>
          <w:sz w:val="24"/>
        </w:rPr>
      </w:pPr>
    </w:p>
    <w:p w:rsidR="00033488" w:rsidRDefault="00033488" w:rsidP="00033488">
      <w:pPr>
        <w:pStyle w:val="NurText"/>
        <w:ind w:left="284"/>
        <w:rPr>
          <w:rFonts w:ascii="Times New Roman" w:eastAsia="MS Mincho" w:hAnsi="Times New Roman" w:cs="Times New Roman"/>
          <w:sz w:val="24"/>
        </w:rPr>
      </w:pPr>
      <w:r>
        <w:rPr>
          <w:rFonts w:ascii="Times New Roman" w:eastAsia="MS Mincho" w:hAnsi="Times New Roman" w:cs="Times New Roman"/>
          <w:sz w:val="24"/>
        </w:rPr>
        <w:t>„Deß Cymbels Thon ist aller hin /</w:t>
      </w:r>
      <w:r>
        <w:rPr>
          <w:rFonts w:ascii="Times New Roman" w:eastAsia="MS Mincho" w:hAnsi="Times New Roman" w:cs="Times New Roman"/>
          <w:sz w:val="24"/>
        </w:rPr>
        <w:br/>
        <w:t>Der lieblich Klang vergangen /</w:t>
      </w:r>
      <w:r>
        <w:rPr>
          <w:rFonts w:ascii="Times New Roman" w:eastAsia="MS Mincho" w:hAnsi="Times New Roman" w:cs="Times New Roman"/>
          <w:sz w:val="24"/>
        </w:rPr>
        <w:br/>
        <w:t>...</w:t>
      </w:r>
      <w:r>
        <w:rPr>
          <w:rFonts w:ascii="Times New Roman" w:eastAsia="MS Mincho" w:hAnsi="Times New Roman" w:cs="Times New Roman"/>
          <w:sz w:val="24"/>
        </w:rPr>
        <w:br/>
        <w:t>Heerbaucken-Klang / Trompeten G`sang</w:t>
      </w:r>
      <w:r>
        <w:rPr>
          <w:rFonts w:ascii="Times New Roman" w:eastAsia="MS Mincho" w:hAnsi="Times New Roman" w:cs="Times New Roman"/>
          <w:sz w:val="24"/>
        </w:rPr>
        <w:br/>
        <w:t>Cornet, sambt den Fagotten</w:t>
      </w:r>
      <w:r>
        <w:rPr>
          <w:rFonts w:ascii="Times New Roman" w:eastAsia="MS Mincho" w:hAnsi="Times New Roman" w:cs="Times New Roman"/>
          <w:sz w:val="24"/>
        </w:rPr>
        <w:br/>
        <w:t>Was darff es vil / schweigen Mäußl still /</w:t>
      </w:r>
      <w:r>
        <w:rPr>
          <w:rFonts w:ascii="Times New Roman" w:eastAsia="MS Mincho" w:hAnsi="Times New Roman" w:cs="Times New Roman"/>
          <w:sz w:val="24"/>
        </w:rPr>
        <w:br/>
        <w:t>Pausiren alle Noten.“</w:t>
      </w:r>
      <w:r>
        <w:rPr>
          <w:rStyle w:val="Funotenzeichen"/>
          <w:rFonts w:ascii="Times New Roman" w:eastAsia="MS Mincho" w:hAnsi="Times New Roman" w:cs="Times New Roman"/>
          <w:sz w:val="24"/>
        </w:rPr>
        <w:footnoteReference w:id="67"/>
      </w:r>
    </w:p>
    <w:p w:rsidR="00033488" w:rsidRDefault="00033488" w:rsidP="00033488">
      <w:pPr>
        <w:pStyle w:val="NurText"/>
        <w:spacing w:line="360" w:lineRule="auto"/>
        <w:ind w:firstLine="284"/>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Der Tod erscheint danach nicht im paradox-makaberen Bild des Tanzes, sondern im Sinne einer eher esoterischen meditatio mortis als Pause.</w:t>
      </w:r>
      <w:r>
        <w:rPr>
          <w:rStyle w:val="Funotenzeichen"/>
          <w:rFonts w:ascii="Times New Roman" w:eastAsia="MS Mincho" w:hAnsi="Times New Roman" w:cs="Times New Roman"/>
          <w:sz w:val="24"/>
        </w:rPr>
        <w:footnoteReference w:id="68"/>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Eine wichtige, wenn auch im Titel nicht ausgesprochene Funktion des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ist die eines geistlichen Testaments. Hat Megerles </w:t>
      </w:r>
      <w:r>
        <w:rPr>
          <w:rFonts w:ascii="Times New Roman" w:eastAsia="MS Mincho" w:hAnsi="Times New Roman" w:cs="Times New Roman"/>
          <w:i/>
          <w:iCs/>
          <w:sz w:val="24"/>
        </w:rPr>
        <w:t>Beylag zu meinem Testament</w:t>
      </w:r>
      <w:r>
        <w:rPr>
          <w:rFonts w:ascii="Times New Roman" w:eastAsia="MS Mincho" w:hAnsi="Times New Roman" w:cs="Times New Roman"/>
          <w:sz w:val="24"/>
        </w:rPr>
        <w:t xml:space="preserve"> vor allem - allerdings nicht ausschließlich - die Aufgabe, sein weltliches Vermächtnis zu regeln, so will Megerle mit dem </w:t>
      </w:r>
      <w:r>
        <w:rPr>
          <w:rFonts w:ascii="Times New Roman" w:eastAsia="MS Mincho" w:hAnsi="Times New Roman" w:cs="Times New Roman"/>
          <w:i/>
          <w:iCs/>
          <w:sz w:val="24"/>
        </w:rPr>
        <w:t xml:space="preserve">Speculum </w:t>
      </w:r>
      <w:r>
        <w:rPr>
          <w:rFonts w:ascii="Times New Roman" w:eastAsia="MS Mincho" w:hAnsi="Times New Roman" w:cs="Times New Roman"/>
          <w:sz w:val="24"/>
        </w:rPr>
        <w:t>als geistlichem Testament einerseits den Hinterbliebenen durch die erwähnten literarischen Formen der meditatio mortis einen „Spiegel“ zum rechten Leben und Sterben anbieten, wobei auch der Ruhm seiner Leistungen und charakterlichen Vortrefflichkeiten eine gewisse Rolle spielt, andererseits ist „darbey Seiner in bester Form jederzeit mit Andacht zugedencken“</w:t>
      </w:r>
      <w:r>
        <w:rPr>
          <w:rStyle w:val="Funotenzeichen"/>
          <w:rFonts w:ascii="Times New Roman" w:eastAsia="MS Mincho" w:hAnsi="Times New Roman" w:cs="Times New Roman"/>
          <w:sz w:val="24"/>
        </w:rPr>
        <w:footnoteReference w:id="69"/>
      </w:r>
      <w:r>
        <w:rPr>
          <w:rFonts w:ascii="Times New Roman" w:eastAsia="MS Mincho" w:hAnsi="Times New Roman" w:cs="Times New Roman"/>
          <w:sz w:val="24"/>
        </w:rPr>
        <w:t>. Letztere Funktion entspringt der Sorge des Autors, dass  er „vnderwegs wurd auffgehalten / wider all mein verhoffen“</w:t>
      </w:r>
      <w:r>
        <w:rPr>
          <w:rStyle w:val="Funotenzeichen"/>
          <w:rFonts w:ascii="Times New Roman" w:eastAsia="MS Mincho" w:hAnsi="Times New Roman" w:cs="Times New Roman"/>
          <w:sz w:val="24"/>
        </w:rPr>
        <w:footnoteReference w:id="70"/>
      </w:r>
      <w:r>
        <w:rPr>
          <w:rFonts w:ascii="Times New Roman" w:eastAsia="MS Mincho" w:hAnsi="Times New Roman" w:cs="Times New Roman"/>
          <w:sz w:val="24"/>
        </w:rPr>
        <w:t>. Darum bittet er die in der deutschen Vorrede angesprochenen Nonnen:</w:t>
      </w:r>
    </w:p>
    <w:p w:rsidR="00033488" w:rsidRDefault="00033488" w:rsidP="00033488">
      <w:pPr>
        <w:pStyle w:val="NurText"/>
        <w:ind w:left="284"/>
        <w:jc w:val="both"/>
        <w:rPr>
          <w:rFonts w:ascii="Times New Roman" w:eastAsia="MS Mincho" w:hAnsi="Times New Roman" w:cs="Times New Roman"/>
          <w:sz w:val="24"/>
        </w:rPr>
      </w:pPr>
      <w:r>
        <w:rPr>
          <w:rFonts w:ascii="Times New Roman" w:eastAsia="MS Mincho" w:hAnsi="Times New Roman" w:cs="Times New Roman"/>
          <w:sz w:val="24"/>
        </w:rPr>
        <w:t xml:space="preserve">„kommet mir zeitlich zu hülff / mit ewerm eyfrigen Gebett / vnd Bußwercken; befürdert die tausent von mir im Testament anbefohlene Messen / neben andern Gottsdiensten / so ich in Lebszeiten gestifft / vnnd von ewerem Gnädigisten Fürsten vnd Herrn / Herrn Ordinario, auff </w:t>
      </w:r>
      <w:r>
        <w:rPr>
          <w:rFonts w:ascii="Times New Roman" w:eastAsia="MS Mincho" w:hAnsi="Times New Roman" w:cs="Times New Roman"/>
          <w:sz w:val="24"/>
        </w:rPr>
        <w:lastRenderedPageBreak/>
        <w:t>ewige Weltzeiten / mit Brieff vnd Sigel seynd bekräfftiget; vnd was ich sonst begert zuhalten / dass  man demselben fleissig nachkomme / vnnd werckstellig mache.“</w:t>
      </w:r>
      <w:r>
        <w:rPr>
          <w:rStyle w:val="Funotenzeichen"/>
          <w:rFonts w:ascii="Times New Roman" w:eastAsia="MS Mincho" w:hAnsi="Times New Roman" w:cs="Times New Roman"/>
          <w:sz w:val="24"/>
        </w:rPr>
        <w:footnoteReference w:id="71"/>
      </w:r>
    </w:p>
    <w:p w:rsidR="00033488" w:rsidRDefault="00033488" w:rsidP="00033488">
      <w:pPr>
        <w:pStyle w:val="NurText"/>
        <w:ind w:firstLine="284"/>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Gegen Ende der Vorrede bittet er seine</w:t>
      </w:r>
    </w:p>
    <w:p w:rsidR="00033488" w:rsidRDefault="00033488" w:rsidP="00033488">
      <w:pPr>
        <w:pStyle w:val="NurText"/>
        <w:ind w:left="284"/>
        <w:jc w:val="both"/>
        <w:rPr>
          <w:rFonts w:ascii="Times New Roman" w:eastAsia="MS Mincho" w:hAnsi="Times New Roman" w:cs="Times New Roman"/>
          <w:sz w:val="24"/>
        </w:rPr>
      </w:pPr>
      <w:r>
        <w:rPr>
          <w:rFonts w:ascii="Times New Roman" w:eastAsia="MS Mincho" w:hAnsi="Times New Roman" w:cs="Times New Roman"/>
          <w:sz w:val="24"/>
        </w:rPr>
        <w:t>„Blutsfreund / oder sonst meine liebreiche Gutgönner ... Sie wollen meiner Seelen günstig vnd liebreich in jhrem eyfrigen Gebett / vnd andern verdienstlichen vnd tugendsamen Wercken jmmerzu gedencken / Hingegen mich verobligier / solches trewhertziges angedencken / so balden ich deß Göttlichen Antlitz / vnnd himmlischen Frewden werde geniessen / nach Schuldigkeit zu vergelten.“</w:t>
      </w:r>
      <w:r>
        <w:rPr>
          <w:rStyle w:val="Funotenzeichen"/>
          <w:rFonts w:ascii="Times New Roman" w:eastAsia="MS Mincho" w:hAnsi="Times New Roman" w:cs="Times New Roman"/>
          <w:sz w:val="24"/>
        </w:rPr>
        <w:footnoteReference w:id="72"/>
      </w:r>
    </w:p>
    <w:p w:rsidR="00033488" w:rsidRDefault="00033488" w:rsidP="00033488">
      <w:pPr>
        <w:pStyle w:val="NurText"/>
        <w:ind w:firstLine="284"/>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Megerle ist der (durch die katholische Reform nicht in Frage gestellten) Auffassung, dass die Gebete anderer seine eigene Seligkeit befördern, wenn auch nicht erzwingen können, ebenso wie seine guten Werke und zeitlichen Verdienste. Er sieht sich dabei als Glied der Gemeinschaft der Gläubigen, für deren irdischen Teil er im Himmel seinerseits bitten will. Diese Wechselseitigkeit zeigt sich auch im zehnfachen Refrain der lateinischen Gebete, die für ihn speziell, für alle Seelen im Fegefeuer oder für bestimmte andere gesprochen werden können:</w:t>
      </w:r>
    </w:p>
    <w:p w:rsidR="00033488" w:rsidRDefault="00033488" w:rsidP="00033488">
      <w:pPr>
        <w:pStyle w:val="NurText"/>
        <w:ind w:left="284"/>
        <w:jc w:val="both"/>
        <w:rPr>
          <w:rFonts w:ascii="Times New Roman" w:eastAsia="MS Mincho" w:hAnsi="Times New Roman" w:cs="Times New Roman"/>
          <w:sz w:val="24"/>
        </w:rPr>
      </w:pPr>
      <w:r>
        <w:rPr>
          <w:rFonts w:ascii="Times New Roman" w:eastAsia="MS Mincho" w:hAnsi="Times New Roman" w:cs="Times New Roman"/>
          <w:sz w:val="24"/>
        </w:rPr>
        <w:t>„Piissime IESV, ... miserere Animae Abrahae Sacerdotis vel N. vel miserere animabus in Purgatorio existentibus, vel miserere animabus, Parentum, Fratrum, Sororum, propinquorum &amp; aliorum, pro quibus teneor orare, Amen.“</w:t>
      </w:r>
      <w:r>
        <w:rPr>
          <w:rStyle w:val="Funotenzeichen"/>
          <w:rFonts w:ascii="Times New Roman" w:eastAsia="MS Mincho" w:hAnsi="Times New Roman" w:cs="Times New Roman"/>
          <w:sz w:val="24"/>
        </w:rPr>
        <w:footnoteReference w:id="73"/>
      </w:r>
      <w:r>
        <w:rPr>
          <w:rFonts w:ascii="Times New Roman" w:eastAsia="MS Mincho" w:hAnsi="Times New Roman" w:cs="Times New Roman"/>
          <w:sz w:val="24"/>
        </w:rPr>
        <w:t xml:space="preserve"> </w:t>
      </w:r>
    </w:p>
    <w:p w:rsidR="00033488" w:rsidRDefault="00033488" w:rsidP="00033488">
      <w:pPr>
        <w:pStyle w:val="NurText"/>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Auch die Ich-Form der deutschen Gebete ist sowohl als Megerles Gebet für seine eigene Seelenrettung wie auch als Gebet des andächtigen Lesers für dessen Heil anzusehen. Der erhoffte Gewinn ist der vollkommene Ablass der Sündenstrafen, der übrigens auch durch die andächtige Meditation über die „seligmachende vnd süßfliessende Namen JESVS MARIA“</w:t>
      </w:r>
      <w:r>
        <w:rPr>
          <w:rStyle w:val="Funotenzeichen"/>
          <w:rFonts w:ascii="Times New Roman" w:eastAsia="MS Mincho" w:hAnsi="Times New Roman" w:cs="Times New Roman"/>
          <w:sz w:val="24"/>
        </w:rPr>
        <w:footnoteReference w:id="74"/>
      </w:r>
      <w:r>
        <w:rPr>
          <w:rFonts w:ascii="Times New Roman" w:eastAsia="MS Mincho" w:hAnsi="Times New Roman" w:cs="Times New Roman"/>
          <w:sz w:val="24"/>
        </w:rPr>
        <w:t xml:space="preserve"> im </w:t>
      </w:r>
      <w:r>
        <w:rPr>
          <w:rFonts w:ascii="Times New Roman" w:eastAsia="MS Mincho" w:hAnsi="Times New Roman" w:cs="Times New Roman"/>
          <w:i/>
          <w:iCs/>
          <w:sz w:val="24"/>
        </w:rPr>
        <w:t>Electuarium</w:t>
      </w:r>
      <w:r>
        <w:rPr>
          <w:rFonts w:ascii="Times New Roman" w:eastAsia="MS Mincho" w:hAnsi="Times New Roman" w:cs="Times New Roman"/>
          <w:sz w:val="24"/>
        </w:rPr>
        <w:t xml:space="preserve"> erlangt werden soll.</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Die erwähnten literarischen Traditionen charakterisieren Megerles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als ein vielfältiges Andachtsbuch, dessen Wurzeln bereits mittelalterlich sind. Nur ein Gattungsaspekt, der allerdings weniger inhaltlicher als formaler Art ist, lehnt sich an Vorbilder des 16. und 17. Jahrhunderts an. Die Rede ist vom Emblembuch, das seit Andreas Alciatis </w:t>
      </w:r>
      <w:r>
        <w:rPr>
          <w:rFonts w:ascii="Times New Roman" w:eastAsia="MS Mincho" w:hAnsi="Times New Roman" w:cs="Times New Roman"/>
          <w:i/>
          <w:iCs/>
          <w:sz w:val="24"/>
        </w:rPr>
        <w:t>Emblemata liber</w:t>
      </w:r>
      <w:r>
        <w:rPr>
          <w:rFonts w:ascii="Times New Roman" w:eastAsia="MS Mincho" w:hAnsi="Times New Roman" w:cs="Times New Roman"/>
          <w:sz w:val="24"/>
        </w:rPr>
        <w:t xml:space="preserve"> (Augsburg 1531) eine </w:t>
      </w:r>
      <w:r>
        <w:rPr>
          <w:rFonts w:ascii="Times New Roman" w:eastAsia="MS Mincho" w:hAnsi="Times New Roman" w:cs="Times New Roman"/>
          <w:sz w:val="24"/>
        </w:rPr>
        <w:lastRenderedPageBreak/>
        <w:t>große Anziehungskraft ausübte. Ähnlich den meisten mittelalterlichen Totentänzen bestehen die Embleme aus einer Kombination von Bild und Text, sind aber nicht auf das Thema des Todes beschränkt und stellen nicht notwendig Personifikationen dar, sondern allgemeine „Sinnbilder“. Dafür haben sie normalerweise einen festumrissenen formalen Aufbau: Überschrift (Lemma, Motto, Inscriptio), allegorisches Bild (Symbolon, Imago, Pictura) und Unterschrift (Subscriptio), die oft poetisch gebunden ist. Nicht selten wird dieses Schema erweitert, wie schon die mittelalterliche Bildfolge des Totentanzes durch Unterschriften, Bibelzitate, weitere, mitunter verschiedensprachige Prosa, Verse, zum Teil sogar mit Melodien zu multimedialen Komplexen ausgebaut bzw. redupliziert wird.</w:t>
      </w:r>
      <w:r>
        <w:rPr>
          <w:rStyle w:val="Funotenzeichen"/>
          <w:rFonts w:ascii="Times New Roman" w:eastAsia="MS Mincho" w:hAnsi="Times New Roman" w:cs="Times New Roman"/>
          <w:sz w:val="24"/>
        </w:rPr>
        <w:footnoteReference w:id="75"/>
      </w:r>
      <w:r>
        <w:rPr>
          <w:rFonts w:ascii="Times New Roman" w:eastAsia="MS Mincho" w:hAnsi="Times New Roman" w:cs="Times New Roman"/>
          <w:sz w:val="24"/>
        </w:rPr>
        <w:t xml:space="preserve">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Ein prominentes Beispiel für ein erweitertes Emblembuch, das Megerle durchaus gekannt haben könnte, sind die seit 1624 (Antwerpen) vielfach wieder aufgelegten </w:t>
      </w:r>
      <w:r>
        <w:rPr>
          <w:rFonts w:ascii="Times New Roman" w:eastAsia="MS Mincho" w:hAnsi="Times New Roman" w:cs="Times New Roman"/>
          <w:i/>
          <w:iCs/>
          <w:sz w:val="24"/>
        </w:rPr>
        <w:t>Pia desideria Emblematis Elegiis et affectibus SS. Patrum illustrata</w:t>
      </w:r>
      <w:r>
        <w:rPr>
          <w:rFonts w:ascii="Times New Roman" w:eastAsia="MS Mincho" w:hAnsi="Times New Roman" w:cs="Times New Roman"/>
          <w:sz w:val="24"/>
        </w:rPr>
        <w:t xml:space="preserve"> des Jesuiten Hermann Hugo. Die einzelnen Abschnitte dieses auf religiöse Themen beschränkten lateinischen Emblembuchs kombinieren Bild und Texte jeweils in folgender Anordnung:</w:t>
      </w:r>
    </w:p>
    <w:p w:rsidR="00033488" w:rsidRDefault="00033488" w:rsidP="00033488">
      <w:pPr>
        <w:pStyle w:val="NurText"/>
        <w:spacing w:line="360" w:lineRule="auto"/>
        <w:ind w:left="284"/>
        <w:rPr>
          <w:rFonts w:ascii="Times New Roman" w:eastAsia="MS Mincho" w:hAnsi="Times New Roman" w:cs="Times New Roman"/>
          <w:sz w:val="24"/>
        </w:rPr>
      </w:pPr>
      <w:r>
        <w:rPr>
          <w:rFonts w:ascii="Times New Roman" w:eastAsia="MS Mincho" w:hAnsi="Times New Roman" w:cs="Times New Roman"/>
          <w:sz w:val="24"/>
        </w:rPr>
        <w:t>a</w:t>
      </w:r>
      <w:r>
        <w:rPr>
          <w:rFonts w:ascii="Times New Roman" w:eastAsia="MS Mincho" w:hAnsi="Times New Roman" w:cs="Times New Roman"/>
          <w:sz w:val="24"/>
        </w:rPr>
        <w:tab/>
        <w:t>Bild</w:t>
      </w:r>
      <w:r>
        <w:rPr>
          <w:rFonts w:ascii="Times New Roman" w:eastAsia="MS Mincho" w:hAnsi="Times New Roman" w:cs="Times New Roman"/>
          <w:sz w:val="24"/>
        </w:rPr>
        <w:br/>
        <w:t>b</w:t>
      </w:r>
      <w:r>
        <w:rPr>
          <w:rFonts w:ascii="Times New Roman" w:eastAsia="MS Mincho" w:hAnsi="Times New Roman" w:cs="Times New Roman"/>
          <w:sz w:val="24"/>
        </w:rPr>
        <w:tab/>
        <w:t>Bibelvers (als Unterschrift)</w:t>
      </w:r>
      <w:r>
        <w:rPr>
          <w:rFonts w:ascii="Times New Roman" w:eastAsia="MS Mincho" w:hAnsi="Times New Roman" w:cs="Times New Roman"/>
          <w:sz w:val="24"/>
        </w:rPr>
        <w:br/>
        <w:t>b</w:t>
      </w:r>
      <w:r>
        <w:rPr>
          <w:rFonts w:ascii="Times New Roman" w:eastAsia="MS Mincho" w:hAnsi="Times New Roman" w:cs="Times New Roman"/>
          <w:sz w:val="24"/>
        </w:rPr>
        <w:tab/>
        <w:t>Bibelvers (als Überschrift)</w:t>
      </w:r>
      <w:r>
        <w:rPr>
          <w:rFonts w:ascii="Times New Roman" w:eastAsia="MS Mincho" w:hAnsi="Times New Roman" w:cs="Times New Roman"/>
          <w:sz w:val="24"/>
        </w:rPr>
        <w:br/>
        <w:t>c</w:t>
      </w:r>
      <w:r>
        <w:rPr>
          <w:rFonts w:ascii="Times New Roman" w:eastAsia="MS Mincho" w:hAnsi="Times New Roman" w:cs="Times New Roman"/>
          <w:sz w:val="24"/>
        </w:rPr>
        <w:tab/>
        <w:t>Gedicht</w:t>
      </w:r>
      <w:r>
        <w:rPr>
          <w:rFonts w:ascii="Times New Roman" w:eastAsia="MS Mincho" w:hAnsi="Times New Roman" w:cs="Times New Roman"/>
          <w:sz w:val="24"/>
        </w:rPr>
        <w:br/>
        <w:t>b</w:t>
      </w:r>
      <w:r>
        <w:rPr>
          <w:rFonts w:ascii="Times New Roman" w:eastAsia="MS Mincho" w:hAnsi="Times New Roman" w:cs="Times New Roman"/>
          <w:sz w:val="24"/>
        </w:rPr>
        <w:tab/>
        <w:t>Bibelvers (als Überschrift)</w:t>
      </w:r>
      <w:r>
        <w:rPr>
          <w:rFonts w:ascii="Times New Roman" w:eastAsia="MS Mincho" w:hAnsi="Times New Roman" w:cs="Times New Roman"/>
          <w:sz w:val="24"/>
        </w:rPr>
        <w:br/>
        <w:t>d</w:t>
      </w:r>
      <w:r>
        <w:rPr>
          <w:rFonts w:ascii="Times New Roman" w:eastAsia="MS Mincho" w:hAnsi="Times New Roman" w:cs="Times New Roman"/>
          <w:sz w:val="24"/>
        </w:rPr>
        <w:tab/>
        <w:t>Gebet aus Schriften der Kirchenväter</w:t>
      </w: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Der wiederkehrende identische Bibelvers schließt den Komplex zu einer Einheit zusammen.</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Innerhalb der Emblembücher bildet die Vergänglichkeitsthematik einen eigenen, gerade im 17. Jahrhundert beliebten Bereich</w:t>
      </w:r>
      <w:r>
        <w:rPr>
          <w:rStyle w:val="Funotenzeichen"/>
          <w:rFonts w:ascii="Times New Roman" w:eastAsia="MS Mincho" w:hAnsi="Times New Roman" w:cs="Times New Roman"/>
          <w:sz w:val="24"/>
        </w:rPr>
        <w:footnoteReference w:id="76"/>
      </w:r>
      <w:r>
        <w:rPr>
          <w:rFonts w:ascii="Times New Roman" w:eastAsia="MS Mincho" w:hAnsi="Times New Roman" w:cs="Times New Roman"/>
          <w:sz w:val="24"/>
        </w:rPr>
        <w:t>, wie sich nicht zuletzt in der Parallele zur Gemäldegattung der Vanitasstilleben zeigt. Megerle knüpft hier mit seinen 13 Totenkopfbildern an.</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Als mögliche Anreger für Inhalt oder Form von Megerles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kommt im 17. Jahrhundert ein breites Spektrum in Betracht. Man denke nur an die zahlreichen Gelegenheitsschriften, die besondere fürstliche Festivitäten, Bestattungen etc. mit Emblemen ausschmücken, gerade im jesuitischen Bereich.</w:t>
      </w:r>
      <w:r>
        <w:rPr>
          <w:rStyle w:val="Funotenzeichen"/>
          <w:rFonts w:ascii="Times New Roman" w:eastAsia="MS Mincho" w:hAnsi="Times New Roman" w:cs="Times New Roman"/>
          <w:sz w:val="24"/>
        </w:rPr>
        <w:footnoteReference w:id="77"/>
      </w:r>
      <w:r>
        <w:rPr>
          <w:rFonts w:ascii="Times New Roman" w:eastAsia="MS Mincho" w:hAnsi="Times New Roman" w:cs="Times New Roman"/>
          <w:sz w:val="24"/>
        </w:rPr>
        <w:t xml:space="preserve"> Von Werken ohne solchen konkreten Anlass zeichnen sich, außer Hugos </w:t>
      </w:r>
      <w:r>
        <w:rPr>
          <w:rFonts w:ascii="Times New Roman" w:eastAsia="MS Mincho" w:hAnsi="Times New Roman" w:cs="Times New Roman"/>
          <w:i/>
          <w:iCs/>
          <w:sz w:val="24"/>
        </w:rPr>
        <w:t>Pia desideria</w:t>
      </w:r>
      <w:r>
        <w:rPr>
          <w:rFonts w:ascii="Times New Roman" w:eastAsia="MS Mincho" w:hAnsi="Times New Roman" w:cs="Times New Roman"/>
          <w:sz w:val="24"/>
        </w:rPr>
        <w:t xml:space="preserve">, viele seit den zwanziger Jahren in München veröffentlichte und weit verbreitete Werke der Jesuiten Jeremias Drexel und Jacob Balde durch emblematische Strukturen oder Vanitasthematik aus und sind Megerle, der gerade für das jesuitische Geistesleben ein besonderes </w:t>
      </w:r>
      <w:r>
        <w:rPr>
          <w:rFonts w:ascii="Times New Roman" w:eastAsia="MS Mincho" w:hAnsi="Times New Roman" w:cs="Times New Roman"/>
          <w:sz w:val="24"/>
        </w:rPr>
        <w:lastRenderedPageBreak/>
        <w:t>Interesse hatte</w:t>
      </w:r>
      <w:r>
        <w:rPr>
          <w:rStyle w:val="Funotenzeichen"/>
          <w:rFonts w:ascii="Times New Roman" w:eastAsia="MS Mincho" w:hAnsi="Times New Roman" w:cs="Times New Roman"/>
          <w:sz w:val="24"/>
        </w:rPr>
        <w:footnoteReference w:id="78"/>
      </w:r>
      <w:r>
        <w:rPr>
          <w:rFonts w:ascii="Times New Roman" w:eastAsia="MS Mincho" w:hAnsi="Times New Roman" w:cs="Times New Roman"/>
          <w:sz w:val="24"/>
        </w:rPr>
        <w:t>, zum Teil nachweislich bekannt gewesen.</w:t>
      </w:r>
      <w:r>
        <w:rPr>
          <w:rStyle w:val="Funotenzeichen"/>
          <w:rFonts w:ascii="Times New Roman" w:eastAsia="MS Mincho" w:hAnsi="Times New Roman" w:cs="Times New Roman"/>
          <w:sz w:val="24"/>
        </w:rPr>
        <w:footnoteReference w:id="79"/>
      </w:r>
      <w:r>
        <w:rPr>
          <w:rFonts w:ascii="Times New Roman" w:eastAsia="MS Mincho" w:hAnsi="Times New Roman" w:cs="Times New Roman"/>
          <w:sz w:val="24"/>
        </w:rPr>
        <w:t xml:space="preserve"> Embleme in Werken mit dem Titel </w:t>
      </w:r>
      <w:r>
        <w:rPr>
          <w:rFonts w:ascii="Times New Roman" w:eastAsia="MS Mincho" w:hAnsi="Times New Roman" w:cs="Times New Roman"/>
          <w:i/>
          <w:iCs/>
          <w:sz w:val="24"/>
        </w:rPr>
        <w:t>Speculum</w:t>
      </w:r>
      <w:r>
        <w:rPr>
          <w:rFonts w:ascii="Times New Roman" w:eastAsia="MS Mincho" w:hAnsi="Times New Roman" w:cs="Times New Roman"/>
          <w:sz w:val="24"/>
        </w:rPr>
        <w:t xml:space="preserve"> bzw. </w:t>
      </w:r>
      <w:r>
        <w:rPr>
          <w:rFonts w:ascii="Times New Roman" w:eastAsia="MS Mincho" w:hAnsi="Times New Roman" w:cs="Times New Roman"/>
          <w:i/>
          <w:iCs/>
          <w:sz w:val="24"/>
        </w:rPr>
        <w:t>Spiegel</w:t>
      </w:r>
      <w:r>
        <w:rPr>
          <w:rFonts w:ascii="Times New Roman" w:eastAsia="MS Mincho" w:hAnsi="Times New Roman" w:cs="Times New Roman"/>
          <w:sz w:val="24"/>
        </w:rPr>
        <w:t xml:space="preserve"> finden sich im 1637 in Antwerpen erschienenen </w:t>
      </w:r>
      <w:r>
        <w:rPr>
          <w:rFonts w:ascii="Times New Roman" w:eastAsia="MS Mincho" w:hAnsi="Times New Roman" w:cs="Times New Roman"/>
          <w:i/>
          <w:iCs/>
          <w:sz w:val="24"/>
        </w:rPr>
        <w:t xml:space="preserve">Speculum Peccatorum aspirantium ad solidam vitae emendationem </w:t>
      </w:r>
      <w:r>
        <w:rPr>
          <w:rFonts w:ascii="Times New Roman" w:eastAsia="MS Mincho" w:hAnsi="Times New Roman" w:cs="Times New Roman"/>
          <w:sz w:val="24"/>
        </w:rPr>
        <w:t xml:space="preserve">... des Augustiner-Eremiten Joannes Mantelius oder im 1650 in Köln erschienenen </w:t>
      </w:r>
      <w:r>
        <w:rPr>
          <w:rFonts w:ascii="Times New Roman" w:eastAsia="MS Mincho" w:hAnsi="Times New Roman" w:cs="Times New Roman"/>
          <w:i/>
          <w:iCs/>
          <w:sz w:val="24"/>
        </w:rPr>
        <w:t>Speculum imaginum veritatis occultae, Exhibens Symbola, Emblemata, Hieroglyphica, AEnigmata</w:t>
      </w:r>
      <w:r>
        <w:rPr>
          <w:rFonts w:ascii="Times New Roman" w:eastAsia="MS Mincho" w:hAnsi="Times New Roman" w:cs="Times New Roman"/>
          <w:sz w:val="24"/>
        </w:rPr>
        <w:t xml:space="preserve"> ... des Jesuiten Jakob Masen.</w:t>
      </w:r>
      <w:r>
        <w:rPr>
          <w:rStyle w:val="Funotenzeichen"/>
          <w:rFonts w:ascii="Times New Roman" w:eastAsia="MS Mincho" w:hAnsi="Times New Roman" w:cs="Times New Roman"/>
          <w:sz w:val="24"/>
        </w:rPr>
        <w:footnoteReference w:id="80"/>
      </w:r>
      <w:r>
        <w:rPr>
          <w:rFonts w:ascii="Times New Roman" w:eastAsia="MS Mincho" w:hAnsi="Times New Roman" w:cs="Times New Roman"/>
          <w:sz w:val="24"/>
        </w:rPr>
        <w:t xml:space="preserve"> Thematisch eng verwandt mit Megerles Totenspiegel ist der ebenfalls 1650 in Zürich veröffentlichte </w:t>
      </w:r>
      <w:r>
        <w:rPr>
          <w:rFonts w:ascii="Times New Roman" w:eastAsia="MS Mincho" w:hAnsi="Times New Roman" w:cs="Times New Roman"/>
          <w:i/>
          <w:iCs/>
          <w:sz w:val="24"/>
        </w:rPr>
        <w:t>Sterbenspiegel, das ist sonnenklare Vorstellung menschlicher Nichtigkeit ... vermittelst 60 ... Kupferblätteren, lehrreicher Uberschrifften und beweglicher zu vier Stimmen ausgesetzter Todtengesängen</w:t>
      </w:r>
      <w:r>
        <w:rPr>
          <w:rFonts w:ascii="Times New Roman" w:eastAsia="MS Mincho" w:hAnsi="Times New Roman" w:cs="Times New Roman"/>
          <w:sz w:val="24"/>
        </w:rPr>
        <w:t xml:space="preserve"> von (Rudolf und) Conrad Meyer.</w:t>
      </w:r>
      <w:r>
        <w:rPr>
          <w:rStyle w:val="Funotenzeichen"/>
          <w:rFonts w:ascii="Times New Roman" w:eastAsia="MS Mincho" w:hAnsi="Times New Roman" w:cs="Times New Roman"/>
          <w:sz w:val="24"/>
        </w:rPr>
        <w:footnoteReference w:id="81"/>
      </w:r>
      <w:r>
        <w:rPr>
          <w:rFonts w:ascii="Times New Roman" w:eastAsia="MS Mincho" w:hAnsi="Times New Roman" w:cs="Times New Roman"/>
          <w:sz w:val="24"/>
        </w:rPr>
        <w:t xml:space="preserve"> Hier ist auch der musikalische Bezug sehr deutlich; trotzdem ist zweifelhaft, ob Megerle diese protestantische Publikation gekannt hat. Im engsten kulturellen und geographischen, ja persönlichen Umkreis Megerles steht dagegen das 1673-1675, also vermutlich kurz nach Fertigstellung des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in Salzburg erschienene </w:t>
      </w:r>
      <w:r>
        <w:rPr>
          <w:rFonts w:ascii="Times New Roman" w:eastAsia="MS Mincho" w:hAnsi="Times New Roman" w:cs="Times New Roman"/>
          <w:i/>
          <w:iCs/>
          <w:sz w:val="24"/>
        </w:rPr>
        <w:t xml:space="preserve">Theatrum funebre, exhibens per varias scenas epitaphia nova, antiqua, seria, iocosa </w:t>
      </w:r>
      <w:r>
        <w:rPr>
          <w:rFonts w:ascii="Times New Roman" w:eastAsia="MS Mincho" w:hAnsi="Times New Roman" w:cs="Times New Roman"/>
          <w:sz w:val="24"/>
        </w:rPr>
        <w:t>... Otto Aichers.</w:t>
      </w:r>
      <w:r>
        <w:rPr>
          <w:rStyle w:val="Funotenzeichen"/>
          <w:rFonts w:ascii="Times New Roman" w:eastAsia="MS Mincho" w:hAnsi="Times New Roman" w:cs="Times New Roman"/>
          <w:sz w:val="24"/>
        </w:rPr>
        <w:footnoteReference w:id="82"/>
      </w:r>
      <w:r>
        <w:rPr>
          <w:rFonts w:ascii="Times New Roman" w:eastAsia="MS Mincho" w:hAnsi="Times New Roman" w:cs="Times New Roman"/>
          <w:sz w:val="24"/>
        </w:rPr>
        <w:t xml:space="preserve"> Zur selben Zeit (1673) schrieb der mit Megerle bekannte Benediktiner bei St. Peter in Salzburg P. Romanus Myller</w:t>
      </w:r>
      <w:r>
        <w:rPr>
          <w:rStyle w:val="Funotenzeichen"/>
          <w:rFonts w:ascii="Times New Roman" w:eastAsia="MS Mincho" w:hAnsi="Times New Roman" w:cs="Times New Roman"/>
          <w:sz w:val="24"/>
        </w:rPr>
        <w:footnoteReference w:id="83"/>
      </w:r>
      <w:r>
        <w:rPr>
          <w:rFonts w:ascii="Times New Roman" w:eastAsia="MS Mincho" w:hAnsi="Times New Roman" w:cs="Times New Roman"/>
          <w:sz w:val="24"/>
        </w:rPr>
        <w:t xml:space="preserve"> eine 26-strophige Aria mit Ritornello „Ad pulpitum“. Das Stück ist im Salzburger Benediktinerinnenkloster Nonnberg erhalten, wo Myller vielleicht Beichtvater war.</w:t>
      </w:r>
      <w:r>
        <w:rPr>
          <w:rStyle w:val="Funotenzeichen"/>
          <w:rFonts w:ascii="Times New Roman" w:eastAsia="MS Mincho" w:hAnsi="Times New Roman" w:cs="Times New Roman"/>
          <w:sz w:val="24"/>
        </w:rPr>
        <w:footnoteReference w:id="84"/>
      </w:r>
      <w:r>
        <w:rPr>
          <w:rFonts w:ascii="Times New Roman" w:eastAsia="MS Mincho" w:hAnsi="Times New Roman" w:cs="Times New Roman"/>
          <w:sz w:val="24"/>
        </w:rPr>
        <w:t xml:space="preserve"> Abgesehen von der Bühnenmetapher </w:t>
      </w:r>
      <w:r>
        <w:rPr>
          <w:rFonts w:ascii="Times New Roman" w:eastAsia="MS Mincho" w:hAnsi="Times New Roman" w:cs="Times New Roman"/>
          <w:sz w:val="24"/>
        </w:rPr>
        <w:lastRenderedPageBreak/>
        <w:t xml:space="preserve">haben die beiden Werke nichts miteinander gemein. Myllers Gedicht erinnert jedoch durch das Motiv der Musikinstrumente an Megerles </w:t>
      </w:r>
      <w:r>
        <w:rPr>
          <w:rFonts w:ascii="Times New Roman" w:eastAsia="MS Mincho" w:hAnsi="Times New Roman" w:cs="Times New Roman"/>
          <w:i/>
          <w:iCs/>
          <w:sz w:val="24"/>
        </w:rPr>
        <w:t>Speculum</w:t>
      </w:r>
      <w:r>
        <w:rPr>
          <w:rFonts w:ascii="Times New Roman" w:eastAsia="MS Mincho" w:hAnsi="Times New Roman" w:cs="Times New Roman"/>
          <w:sz w:val="24"/>
        </w:rPr>
        <w:t>. Alle zwölf von Myller benannten Instrumente erscheinen auch dort und werden von ihm mit durchaus vergleichbaren Versen beschrieben, dienen allerdings nicht als „anmutung zum Todtentanz“, sondern zur scherzhaften Musikersatire.</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Wie die Übersicht über die im </w:t>
      </w:r>
      <w:r>
        <w:rPr>
          <w:rFonts w:ascii="Times New Roman" w:eastAsia="MS Mincho" w:hAnsi="Times New Roman" w:cs="Times New Roman"/>
          <w:i/>
          <w:iCs/>
          <w:sz w:val="24"/>
        </w:rPr>
        <w:t>Speculum</w:t>
      </w:r>
      <w:r>
        <w:rPr>
          <w:rFonts w:ascii="Times New Roman" w:eastAsia="MS Mincho" w:hAnsi="Times New Roman" w:cs="Times New Roman"/>
          <w:sz w:val="24"/>
        </w:rPr>
        <w:t xml:space="preserve"> anklingenden literarischen Gattungen und die konkreten Beispiele zeigen, griff Megerle für sein Werk auf ein reiches Traditionsspektrum zurück, auch wenn die direkten Einflüsse wegen der allgemeinen Verbreitung der Vanitas- und Todestopoi kaum zu eruieren sind. Was die Rezeption seiner Schrift betrifft, so liegt zumindest ein Einfluss auf seinen Neffen Abraham a Sancta Clara nahe, der gerade zur Entstehungszeit des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in häufigem Kontakt zu seinem Oheim stand.</w:t>
      </w:r>
      <w:r>
        <w:rPr>
          <w:rStyle w:val="Funotenzeichen"/>
          <w:rFonts w:ascii="Times New Roman" w:eastAsia="MS Mincho" w:hAnsi="Times New Roman" w:cs="Times New Roman"/>
          <w:sz w:val="24"/>
        </w:rPr>
        <w:footnoteReference w:id="85"/>
      </w:r>
      <w:r>
        <w:rPr>
          <w:rFonts w:ascii="Times New Roman" w:eastAsia="MS Mincho" w:hAnsi="Times New Roman" w:cs="Times New Roman"/>
          <w:sz w:val="24"/>
        </w:rPr>
        <w:t xml:space="preserve"> Nachdem er 1670 seine lateinische </w:t>
      </w:r>
      <w:r>
        <w:rPr>
          <w:rFonts w:ascii="Times New Roman" w:eastAsia="MS Mincho" w:hAnsi="Times New Roman" w:cs="Times New Roman"/>
          <w:i/>
          <w:iCs/>
          <w:sz w:val="24"/>
        </w:rPr>
        <w:t>Epitome elogiorum</w:t>
      </w:r>
      <w:r>
        <w:rPr>
          <w:rFonts w:ascii="Times New Roman" w:eastAsia="MS Mincho" w:hAnsi="Times New Roman" w:cs="Times New Roman"/>
          <w:sz w:val="24"/>
        </w:rPr>
        <w:t xml:space="preserve"> auf seinen Mentor geschrieben hatte, folgte 1672, im Jahr der vermutlichen Veröffentlichung des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seine Predigt über die </w:t>
      </w:r>
      <w:r>
        <w:rPr>
          <w:rFonts w:ascii="Times New Roman" w:eastAsia="MS Mincho" w:hAnsi="Times New Roman" w:cs="Times New Roman"/>
          <w:i/>
          <w:iCs/>
          <w:sz w:val="24"/>
        </w:rPr>
        <w:t>Löbliche Todten-Bruderschafft</w:t>
      </w:r>
      <w:r>
        <w:rPr>
          <w:rFonts w:ascii="Times New Roman" w:eastAsia="MS Mincho" w:hAnsi="Times New Roman" w:cs="Times New Roman"/>
          <w:sz w:val="24"/>
        </w:rPr>
        <w:t xml:space="preserve">, später erweitert zu </w:t>
      </w:r>
      <w:r>
        <w:rPr>
          <w:rFonts w:ascii="Times New Roman" w:eastAsia="MS Mincho" w:hAnsi="Times New Roman" w:cs="Times New Roman"/>
          <w:i/>
          <w:iCs/>
          <w:sz w:val="24"/>
        </w:rPr>
        <w:t>Grosse Todten-Bruderschaft / Das ist: Ein kurtzer Entwurff Deß Sterblichen Lebens</w:t>
      </w:r>
      <w:r>
        <w:rPr>
          <w:rFonts w:ascii="Times New Roman" w:eastAsia="MS Mincho" w:hAnsi="Times New Roman" w:cs="Times New Roman"/>
          <w:sz w:val="24"/>
        </w:rPr>
        <w:t xml:space="preserve">, 1680 sein berühmtes </w:t>
      </w:r>
      <w:r>
        <w:rPr>
          <w:rFonts w:ascii="Times New Roman" w:eastAsia="MS Mincho" w:hAnsi="Times New Roman" w:cs="Times New Roman"/>
          <w:i/>
          <w:iCs/>
          <w:sz w:val="24"/>
        </w:rPr>
        <w:t>Mercks Wienn / Das ist Deß wütenden Todts ein vmbständige Beschreibung,</w:t>
      </w:r>
      <w:r>
        <w:rPr>
          <w:rFonts w:ascii="Times New Roman" w:eastAsia="MS Mincho" w:hAnsi="Times New Roman" w:cs="Times New Roman"/>
          <w:sz w:val="24"/>
        </w:rPr>
        <w:t xml:space="preserve"> und als letztes seiner zahlreichen Werke, 1710 posthum veröffentlicht, die </w:t>
      </w:r>
      <w:r>
        <w:rPr>
          <w:rFonts w:ascii="Times New Roman" w:eastAsia="MS Mincho" w:hAnsi="Times New Roman" w:cs="Times New Roman"/>
          <w:i/>
          <w:iCs/>
          <w:sz w:val="24"/>
        </w:rPr>
        <w:t>Besonders meubliert- und gezierte Todten-Capelle / oder Allgemeiner Todten-Spiegel / Darinnen Alle Menschen / wes Standes sie sind / sich beschauen / an denen mannigfältigen Sinnreichen Gemählden das Memento mori zu studiren / und die Nichtigkeit und Eitelkeit dieses Lebens ... können betrachten und verachten lernen.</w:t>
      </w:r>
      <w:r>
        <w:rPr>
          <w:rStyle w:val="Funotenzeichen"/>
          <w:rFonts w:ascii="Times New Roman" w:eastAsia="MS Mincho" w:hAnsi="Times New Roman" w:cs="Times New Roman"/>
          <w:sz w:val="24"/>
        </w:rPr>
        <w:footnoteReference w:id="86"/>
      </w:r>
      <w:r>
        <w:rPr>
          <w:rFonts w:ascii="Times New Roman" w:eastAsia="MS Mincho" w:hAnsi="Times New Roman" w:cs="Times New Roman"/>
          <w:sz w:val="24"/>
        </w:rPr>
        <w:t xml:space="preserve"> Schon im Titel sowie in seiner Rolle als Abschiedsschrift bzw. geistliches Testament erinnert dieses Werk an Megerles </w:t>
      </w:r>
      <w:r>
        <w:rPr>
          <w:rFonts w:ascii="Times New Roman" w:eastAsia="MS Mincho" w:hAnsi="Times New Roman" w:cs="Times New Roman"/>
          <w:i/>
          <w:iCs/>
          <w:sz w:val="24"/>
        </w:rPr>
        <w:t>Todtenspiege</w:t>
      </w:r>
      <w:r>
        <w:rPr>
          <w:rFonts w:ascii="Times New Roman" w:eastAsia="MS Mincho" w:hAnsi="Times New Roman" w:cs="Times New Roman"/>
          <w:sz w:val="24"/>
        </w:rPr>
        <w:t xml:space="preserve">l. Darüber hinaus sind in allen genannten Schriften mehr oder weniger deutliche Spuren des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nachzuweisen. Zum Beispiel spricht Abraham a Sancta Clara in der </w:t>
      </w:r>
      <w:r>
        <w:rPr>
          <w:rFonts w:ascii="Times New Roman" w:eastAsia="MS Mincho" w:hAnsi="Times New Roman" w:cs="Times New Roman"/>
          <w:i/>
          <w:iCs/>
          <w:sz w:val="24"/>
        </w:rPr>
        <w:t>Grossen Todten-Bruderschaft</w:t>
      </w:r>
      <w:r>
        <w:rPr>
          <w:rFonts w:ascii="Times New Roman" w:eastAsia="MS Mincho" w:hAnsi="Times New Roman" w:cs="Times New Roman"/>
          <w:sz w:val="24"/>
        </w:rPr>
        <w:t xml:space="preserve"> von „Zeit und Mensur“, die sein Oheim im neunten Totenkopfgedicht ausdrücklich thematisiert.</w:t>
      </w:r>
      <w:r>
        <w:rPr>
          <w:rStyle w:val="Funotenzeichen"/>
          <w:rFonts w:ascii="Times New Roman" w:eastAsia="MS Mincho" w:hAnsi="Times New Roman" w:cs="Times New Roman"/>
          <w:sz w:val="24"/>
        </w:rPr>
        <w:footnoteReference w:id="87"/>
      </w:r>
      <w:r>
        <w:rPr>
          <w:rFonts w:ascii="Times New Roman" w:eastAsia="MS Mincho" w:hAnsi="Times New Roman" w:cs="Times New Roman"/>
          <w:sz w:val="24"/>
        </w:rPr>
        <w:t xml:space="preserve"> </w:t>
      </w:r>
      <w:r>
        <w:rPr>
          <w:rFonts w:ascii="Times New Roman" w:eastAsia="MS Mincho" w:hAnsi="Times New Roman" w:cs="Times New Roman"/>
          <w:i/>
          <w:iCs/>
          <w:sz w:val="24"/>
        </w:rPr>
        <w:t>Mercks Wienn</w:t>
      </w:r>
      <w:r>
        <w:rPr>
          <w:rFonts w:ascii="Times New Roman" w:eastAsia="MS Mincho" w:hAnsi="Times New Roman" w:cs="Times New Roman"/>
          <w:sz w:val="24"/>
        </w:rPr>
        <w:t xml:space="preserve"> beginnt nicht nur mit einer Buchstabendeutung wie Megerles </w:t>
      </w:r>
      <w:r>
        <w:rPr>
          <w:rFonts w:ascii="Times New Roman" w:eastAsia="MS Mincho" w:hAnsi="Times New Roman" w:cs="Times New Roman"/>
          <w:i/>
          <w:iCs/>
          <w:sz w:val="24"/>
        </w:rPr>
        <w:t>Electuarium</w:t>
      </w:r>
      <w:r>
        <w:rPr>
          <w:rFonts w:ascii="Times New Roman" w:eastAsia="MS Mincho" w:hAnsi="Times New Roman" w:cs="Times New Roman"/>
          <w:sz w:val="24"/>
        </w:rPr>
        <w:t>, sondern führt später auch zu einer Blumenallegorese</w:t>
      </w:r>
      <w:r>
        <w:rPr>
          <w:rStyle w:val="Funotenzeichen"/>
          <w:rFonts w:ascii="Times New Roman" w:eastAsia="MS Mincho" w:hAnsi="Times New Roman" w:cs="Times New Roman"/>
          <w:sz w:val="24"/>
        </w:rPr>
        <w:footnoteReference w:id="88"/>
      </w:r>
      <w:r>
        <w:rPr>
          <w:rFonts w:ascii="Times New Roman" w:eastAsia="MS Mincho" w:hAnsi="Times New Roman" w:cs="Times New Roman"/>
          <w:sz w:val="24"/>
        </w:rPr>
        <w:t xml:space="preserve">. Ein Teil beginnt mit dem Bibelzitat: „Abraham mortuus est.“ (Joh 8, 52), dem </w:t>
      </w:r>
      <w:r>
        <w:rPr>
          <w:rFonts w:ascii="Times New Roman" w:eastAsia="MS Mincho" w:hAnsi="Times New Roman" w:cs="Times New Roman"/>
          <w:sz w:val="24"/>
        </w:rPr>
        <w:lastRenderedPageBreak/>
        <w:t>wenige Zeilen später das Motto folgt: „Dann sterben müssen alle Leuth.“</w:t>
      </w:r>
      <w:r>
        <w:rPr>
          <w:rStyle w:val="Funotenzeichen"/>
          <w:rFonts w:ascii="Times New Roman" w:eastAsia="MS Mincho" w:hAnsi="Times New Roman" w:cs="Times New Roman"/>
          <w:sz w:val="24"/>
        </w:rPr>
        <w:footnoteReference w:id="89"/>
      </w:r>
      <w:r>
        <w:rPr>
          <w:rFonts w:ascii="Times New Roman" w:eastAsia="MS Mincho" w:hAnsi="Times New Roman" w:cs="Times New Roman"/>
          <w:sz w:val="24"/>
        </w:rPr>
        <w:t xml:space="preserve"> Ebenso stellt Abraham Megerle in der Apostrophe fest: „Statutum enim omnibus hominibus semel mori.“</w:t>
      </w:r>
      <w:r>
        <w:rPr>
          <w:rStyle w:val="Funotenzeichen"/>
          <w:rFonts w:ascii="Times New Roman" w:eastAsia="MS Mincho" w:hAnsi="Times New Roman" w:cs="Times New Roman"/>
          <w:sz w:val="24"/>
        </w:rPr>
        <w:footnoteReference w:id="90"/>
      </w:r>
      <w:r>
        <w:rPr>
          <w:rFonts w:ascii="Times New Roman" w:eastAsia="MS Mincho" w:hAnsi="Times New Roman" w:cs="Times New Roman"/>
          <w:sz w:val="24"/>
        </w:rPr>
        <w:t xml:space="preserve"> Auffällig ist außerdem, dass  zwei der fünf Emblembilder (außer dem Titelbild) in der Erstausgabe von </w:t>
      </w:r>
      <w:r>
        <w:rPr>
          <w:rFonts w:ascii="Times New Roman" w:eastAsia="MS Mincho" w:hAnsi="Times New Roman" w:cs="Times New Roman"/>
          <w:i/>
          <w:iCs/>
          <w:sz w:val="24"/>
        </w:rPr>
        <w:t>Mercks Wienn</w:t>
      </w:r>
      <w:r>
        <w:rPr>
          <w:rFonts w:ascii="Times New Roman" w:eastAsia="MS Mincho" w:hAnsi="Times New Roman" w:cs="Times New Roman"/>
          <w:sz w:val="24"/>
        </w:rPr>
        <w:t xml:space="preserve"> den Tod mit Musikinstrumenten, Orgel sowie Pfeife und Trommel, darstellen.</w:t>
      </w:r>
      <w:r>
        <w:rPr>
          <w:rStyle w:val="Funotenzeichen"/>
          <w:rFonts w:ascii="Times New Roman" w:eastAsia="MS Mincho" w:hAnsi="Times New Roman" w:cs="Times New Roman"/>
          <w:sz w:val="24"/>
        </w:rPr>
        <w:footnoteReference w:id="91"/>
      </w:r>
      <w:r>
        <w:rPr>
          <w:rFonts w:ascii="Times New Roman" w:eastAsia="MS Mincho" w:hAnsi="Times New Roman" w:cs="Times New Roman"/>
          <w:sz w:val="24"/>
        </w:rPr>
        <w:t xml:space="preserve"> Auf den ersten beiden Orgelpfeifen stecken Birett und Kardinalshut, auf die auch Megerle im </w:t>
      </w:r>
      <w:r>
        <w:rPr>
          <w:rFonts w:ascii="Times New Roman" w:eastAsia="MS Mincho" w:hAnsi="Times New Roman" w:cs="Times New Roman"/>
          <w:i/>
          <w:iCs/>
          <w:sz w:val="24"/>
        </w:rPr>
        <w:t>Speculum</w:t>
      </w:r>
      <w:r>
        <w:rPr>
          <w:rFonts w:ascii="Times New Roman" w:eastAsia="MS Mincho" w:hAnsi="Times New Roman" w:cs="Times New Roman"/>
          <w:sz w:val="24"/>
        </w:rPr>
        <w:t xml:space="preserve"> eingeht.</w:t>
      </w:r>
      <w:r>
        <w:rPr>
          <w:rStyle w:val="Funotenzeichen"/>
          <w:rFonts w:ascii="Times New Roman" w:eastAsia="MS Mincho" w:hAnsi="Times New Roman" w:cs="Times New Roman"/>
          <w:sz w:val="24"/>
        </w:rPr>
        <w:footnoteReference w:id="92"/>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Die musikalische meditatio mortis vertieft Abraham in der </w:t>
      </w:r>
      <w:r>
        <w:rPr>
          <w:rFonts w:ascii="Times New Roman" w:eastAsia="MS Mincho" w:hAnsi="Times New Roman" w:cs="Times New Roman"/>
          <w:i/>
          <w:iCs/>
          <w:sz w:val="24"/>
        </w:rPr>
        <w:t>Todten-Capelle</w:t>
      </w:r>
      <w:r>
        <w:rPr>
          <w:rFonts w:ascii="Times New Roman" w:eastAsia="MS Mincho" w:hAnsi="Times New Roman" w:cs="Times New Roman"/>
          <w:sz w:val="24"/>
        </w:rPr>
        <w:t>, vor allem in den Kapiteln Tanz und Tod (Nr. 19), Der Spielmann Tod (Nr. 20) und Musiker und Tod (Nr. 34). In den beiden erstgenannten verfällt die Musik, getreu der Contemptus mundi-Tradition, vollständig der Vanitas. Abraham lässt insbesondere alle Instrumente - ein Dutzend wird genannt - „von der Trompete an bis auf die Maultrommel“, entsprechend der Ständehierarchie im Totentanz, in derber Weise zugrundegehen: „Da hat sich's denn ausgepfiffen, ausgeblasen, ausgeleiert, ausgefingert, ausgegeigt, ausgefidelt und gedudelt, ausgeklämpert, ausgeschlagen und ausgehackbrettelt.“</w:t>
      </w:r>
      <w:r>
        <w:rPr>
          <w:rStyle w:val="Funotenzeichen"/>
          <w:rFonts w:ascii="Times New Roman" w:eastAsia="MS Mincho" w:hAnsi="Times New Roman" w:cs="Times New Roman"/>
          <w:sz w:val="24"/>
        </w:rPr>
        <w:footnoteReference w:id="93"/>
      </w:r>
      <w:r>
        <w:rPr>
          <w:rFonts w:ascii="Times New Roman" w:eastAsia="MS Mincho" w:hAnsi="Times New Roman" w:cs="Times New Roman"/>
          <w:sz w:val="24"/>
        </w:rPr>
        <w:t xml:space="preserve"> Auffällig ist auch die Metapher der Stille als Todessymbol; wie bei seinem Oheim kehrt sie mehrfach wieder: „Da folgt die stille Musica. ... Die liebliche Stimme ist verstummt ... </w:t>
      </w:r>
      <w:r>
        <w:rPr>
          <w:rFonts w:ascii="Times New Roman" w:eastAsia="MS Mincho" w:hAnsi="Times New Roman" w:cs="Times New Roman"/>
          <w:sz w:val="24"/>
          <w:lang w:val="it-IT"/>
        </w:rPr>
        <w:t xml:space="preserve">Jetzt heißt's: Ritornello tacet. </w:t>
      </w:r>
      <w:r>
        <w:rPr>
          <w:rFonts w:ascii="Times New Roman" w:eastAsia="MS Mincho" w:hAnsi="Times New Roman" w:cs="Times New Roman"/>
          <w:sz w:val="24"/>
        </w:rPr>
        <w:t>Es gehet alles piano“.</w:t>
      </w:r>
      <w:r>
        <w:rPr>
          <w:rStyle w:val="Funotenzeichen"/>
          <w:rFonts w:ascii="Times New Roman" w:eastAsia="MS Mincho" w:hAnsi="Times New Roman" w:cs="Times New Roman"/>
          <w:sz w:val="24"/>
        </w:rPr>
        <w:footnoteReference w:id="94"/>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Dialektischer und darin dem </w:t>
      </w:r>
      <w:r>
        <w:rPr>
          <w:rFonts w:ascii="Times New Roman" w:eastAsia="MS Mincho" w:hAnsi="Times New Roman" w:cs="Times New Roman"/>
          <w:i/>
          <w:iCs/>
          <w:sz w:val="24"/>
        </w:rPr>
        <w:t>Speculum</w:t>
      </w:r>
      <w:r>
        <w:rPr>
          <w:rFonts w:ascii="Times New Roman" w:eastAsia="MS Mincho" w:hAnsi="Times New Roman" w:cs="Times New Roman"/>
          <w:sz w:val="24"/>
        </w:rPr>
        <w:t xml:space="preserve"> ähnlicher wird die Musik im Kapitel Musiker und Tod</w:t>
      </w:r>
      <w:r>
        <w:rPr>
          <w:rStyle w:val="Funotenzeichen"/>
          <w:rFonts w:ascii="Times New Roman" w:eastAsia="MS Mincho" w:hAnsi="Times New Roman" w:cs="Times New Roman"/>
          <w:sz w:val="24"/>
        </w:rPr>
        <w:footnoteReference w:id="95"/>
      </w:r>
      <w:r>
        <w:rPr>
          <w:rFonts w:ascii="Times New Roman" w:eastAsia="MS Mincho" w:hAnsi="Times New Roman" w:cs="Times New Roman"/>
          <w:sz w:val="24"/>
        </w:rPr>
        <w:t xml:space="preserve"> behandelt. Vorangestellt sind hier die Worte: „Versa est in luctum cithara mea.“ (Jb 30,31), die auch Megerle zitiert (zur „Zitter“ S. 44). Wie in den anderen erwähnten Kapiteln schneidet für Abraham der Tod „Saiten und Freuden in einem Augenblick ab, machet ein pausam generalem und bekennet selber: Music und Saitenspiel Gelten bei mir nit viel.“ Gefährlich sei es, wenn einer sich „in die Musik verliebt, dass er sich selbst vergißt“. Andererseits gesteht Abraham aber ein, dass die Musik göttlichen Ursprungs und zum Gotteslob geeignet sei, ja er berichtet von Sterbenden, die während der Musik „ganz vergnügt eingeschlafen und dies Zeitliche samt der Musik gesegnet“ haben.</w:t>
      </w: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IV. Zu Aufbau, Sprache, Gedicht- und Bildkonzeption</w:t>
      </w: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lastRenderedPageBreak/>
        <w:t xml:space="preserve">Den Hauptteil von Megerles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bilden die emblematisch aufgebauten 13 Totenkopfbilder mit ihren zugehörigen Texten. Deren Motive, wie Stundenglas, Blumen, auch die Instrumente</w:t>
      </w:r>
      <w:r>
        <w:rPr>
          <w:rStyle w:val="Funotenzeichen"/>
          <w:rFonts w:ascii="Times New Roman" w:eastAsia="MS Mincho" w:hAnsi="Times New Roman" w:cs="Times New Roman"/>
          <w:sz w:val="24"/>
        </w:rPr>
        <w:footnoteReference w:id="96"/>
      </w:r>
      <w:r>
        <w:rPr>
          <w:rFonts w:ascii="Times New Roman" w:eastAsia="MS Mincho" w:hAnsi="Times New Roman" w:cs="Times New Roman"/>
          <w:sz w:val="24"/>
        </w:rPr>
        <w:t xml:space="preserve"> entnimmt er der Vanitastradition, verbindet sie aber mit der eigenen Biographie und fügt in diesem Sinne seine priesterliche Kleidung hinzu. Ähnlich wie Hugo in seinen </w:t>
      </w:r>
      <w:r>
        <w:rPr>
          <w:rFonts w:ascii="Times New Roman" w:eastAsia="MS Mincho" w:hAnsi="Times New Roman" w:cs="Times New Roman"/>
          <w:i/>
          <w:iCs/>
          <w:sz w:val="24"/>
        </w:rPr>
        <w:t>Pia desideria</w:t>
      </w:r>
      <w:r>
        <w:rPr>
          <w:rFonts w:ascii="Times New Roman" w:eastAsia="MS Mincho" w:hAnsi="Times New Roman" w:cs="Times New Roman"/>
          <w:sz w:val="24"/>
        </w:rPr>
        <w:t xml:space="preserve"> kombiniert Megerle mit den Bildern lateinische Bibelverse, gelegentlich auch liturgische Zitate, bringt allerdings normalerweise vier in jedem Bild (unter den Motiven) und übersetzt sie außerhalb des Bildrahmens. Im Zentrum steht aber jeweils das fünfte Motiv über dem Totenkopf, das oberhalb des Rahmens in der Überschrift benannt wird. An diesen Komplex schließt sich auf derselben Seite immer ein lateinisches Gebet an, das aber in der Regel ohne speziellen inhaltlichen Bezug zum Bild ist. Auf einer anderen Seite, die dieser entweder vorangeht oder folgt, erscheint jeweils in deutscher Sprache ein Gedicht und ein Gebet</w:t>
      </w:r>
      <w:r>
        <w:rPr>
          <w:rStyle w:val="Funotenzeichen"/>
          <w:rFonts w:ascii="Times New Roman" w:eastAsia="MS Mincho" w:hAnsi="Times New Roman" w:cs="Times New Roman"/>
          <w:sz w:val="24"/>
        </w:rPr>
        <w:footnoteReference w:id="97"/>
      </w:r>
      <w:r>
        <w:rPr>
          <w:rFonts w:ascii="Times New Roman" w:eastAsia="MS Mincho" w:hAnsi="Times New Roman" w:cs="Times New Roman"/>
          <w:sz w:val="24"/>
        </w:rPr>
        <w:t>. Das Gedicht, in dessen Titel die Überschrift des Bildes anklingt, thematisiert dessen Hauptmotiv oder auch die anderen Motive. Das Gebet nimmt in einem oder mehreren Aspekten darauf Bezug.</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Die Reihenfolge der Bild- bzw. Gedichtmotive lässt gewisse Gruppierungen erkennen. Während  die Nummern 1 und 2 ohne persönliche Bezüge sind, steht in den Nummern 3 bis 5 Megerles Priesterkleidung (Chorpelz, Chorrock und Birett) im Vordergrund, in 6 bis 8 liturgisch-rituelle Angelegenheiten (Brevir zur Totenvigil, Requiem, Zimbel zur Wandlung); die Nummern 9 bis 11 spielen auf Megerles Stand als Kapellmeister (Dirigierstab und -tuch), als Protonotar (Kardinalshut) und als Adeliger an (Helmdeck); Nr. 12 vereinigt alles im Wappen mit Imprese. In Nr. 13 (alle Instrumente) kommt Megerle noch einmal auf sein Kapellmeisteramt zurück, gleichzeitig aber auf die Idee des ganzen Werkes als Instrumenten-Emblembuch. Die Ordnung der Motive hat keine inhaltlich-thematische Stringenz; verschiedene Aspekte, wie Klage, Vanitas, Jüngstes Gericht, Himmelsmusik, göttliches Mysterium, Weltordnung, Glaubenshoffnung, wechseln einander ab und durchdringen sich. Die wichtigsten Themen darunter sind die polar gegenübergestellten der Vanitas (in Nr. 1, 2, &lt;3, 4&gt;, 5, 7, 8, 10, 11, 13, vornehmlich in den Gedichten) und der Himmelsmusik (in Nr. 4, 7, 8, 11, 12, vornehmlich in den Bibelzitaten der Bilder).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Dieser Hauptteil des Büchleins umfasst 25 Seiten (S. 23-47). Ihm folgen, als unpaginierter Anhang, die Entwürfe von Megerles Grabmälern. Die erste Hälfte des Werkes aber wird von mehreren Textemen gestaltet, die in gewisser Weise alle auf den emblematischen Hauptteil, der „zum Todtentantz ein anmutung“ sein soll, vorbereiten. Das Ganze baut sich folgendermaßen auf:</w:t>
      </w:r>
    </w:p>
    <w:p w:rsidR="00033488" w:rsidRDefault="00033488" w:rsidP="00033488">
      <w:pPr>
        <w:pStyle w:val="NurText"/>
        <w:spacing w:line="360" w:lineRule="auto"/>
        <w:ind w:left="284"/>
        <w:rPr>
          <w:rFonts w:ascii="Times New Roman" w:eastAsia="MS Mincho" w:hAnsi="Times New Roman" w:cs="Times New Roman"/>
          <w:sz w:val="24"/>
        </w:rPr>
      </w:pPr>
      <w:r>
        <w:rPr>
          <w:rFonts w:ascii="Times New Roman" w:eastAsia="MS Mincho" w:hAnsi="Times New Roman" w:cs="Times New Roman"/>
          <w:sz w:val="24"/>
        </w:rPr>
        <w:t>1.</w:t>
      </w:r>
      <w:r>
        <w:rPr>
          <w:rFonts w:ascii="Times New Roman" w:eastAsia="MS Mincho" w:hAnsi="Times New Roman" w:cs="Times New Roman"/>
          <w:sz w:val="24"/>
        </w:rPr>
        <w:tab/>
        <w:t>Titelblatt mit Megerles Porträt, Wappen und Totenkopf. (I)</w:t>
      </w:r>
      <w:r>
        <w:rPr>
          <w:rFonts w:ascii="Times New Roman" w:eastAsia="MS Mincho" w:hAnsi="Times New Roman" w:cs="Times New Roman"/>
          <w:sz w:val="24"/>
        </w:rPr>
        <w:br/>
        <w:t>2.</w:t>
      </w:r>
      <w:r>
        <w:rPr>
          <w:rFonts w:ascii="Times New Roman" w:eastAsia="MS Mincho" w:hAnsi="Times New Roman" w:cs="Times New Roman"/>
          <w:sz w:val="24"/>
        </w:rPr>
        <w:tab/>
        <w:t>Zweites Titelblatt mit Megerles Standestiteln. (II)</w:t>
      </w:r>
      <w:r>
        <w:rPr>
          <w:rFonts w:ascii="Times New Roman" w:eastAsia="MS Mincho" w:hAnsi="Times New Roman" w:cs="Times New Roman"/>
          <w:sz w:val="24"/>
        </w:rPr>
        <w:br/>
      </w:r>
      <w:r>
        <w:rPr>
          <w:rFonts w:ascii="Times New Roman" w:eastAsia="MS Mincho" w:hAnsi="Times New Roman" w:cs="Times New Roman"/>
          <w:sz w:val="24"/>
        </w:rPr>
        <w:lastRenderedPageBreak/>
        <w:t>3.</w:t>
      </w:r>
      <w:r>
        <w:rPr>
          <w:rFonts w:ascii="Times New Roman" w:eastAsia="MS Mincho" w:hAnsi="Times New Roman" w:cs="Times New Roman"/>
          <w:sz w:val="24"/>
        </w:rPr>
        <w:tab/>
        <w:t>Widmungsträger mit Titeln. (III)</w:t>
      </w:r>
      <w:r>
        <w:rPr>
          <w:rFonts w:ascii="Times New Roman" w:eastAsia="MS Mincho" w:hAnsi="Times New Roman" w:cs="Times New Roman"/>
          <w:sz w:val="24"/>
        </w:rPr>
        <w:br/>
        <w:t xml:space="preserve">4.   </w:t>
      </w:r>
      <w:r>
        <w:rPr>
          <w:rFonts w:ascii="Times New Roman" w:eastAsia="MS Mincho" w:hAnsi="Times New Roman" w:cs="Times New Roman"/>
          <w:sz w:val="24"/>
        </w:rPr>
        <w:tab/>
        <w:t>Kurze Benennung von Megerles Verdiensten. (IV)</w:t>
      </w:r>
      <w:r>
        <w:rPr>
          <w:rFonts w:ascii="Times New Roman" w:eastAsia="MS Mincho" w:hAnsi="Times New Roman" w:cs="Times New Roman"/>
          <w:sz w:val="24"/>
        </w:rPr>
        <w:br/>
        <w:t xml:space="preserve">5.   </w:t>
      </w:r>
      <w:r>
        <w:rPr>
          <w:rFonts w:ascii="Times New Roman" w:eastAsia="MS Mincho" w:hAnsi="Times New Roman" w:cs="Times New Roman"/>
          <w:sz w:val="24"/>
        </w:rPr>
        <w:tab/>
        <w:t>Apostrophe an die Concapitulare. 2-4</w:t>
      </w:r>
      <w:r>
        <w:rPr>
          <w:rFonts w:ascii="Times New Roman" w:eastAsia="MS Mincho" w:hAnsi="Times New Roman" w:cs="Times New Roman"/>
          <w:sz w:val="24"/>
        </w:rPr>
        <w:br/>
        <w:t>6.</w:t>
      </w:r>
      <w:r>
        <w:rPr>
          <w:rFonts w:ascii="Times New Roman" w:eastAsia="MS Mincho" w:hAnsi="Times New Roman" w:cs="Times New Roman"/>
          <w:sz w:val="24"/>
        </w:rPr>
        <w:tab/>
        <w:t>Übersetzung des Titels ins Deutsche. 5</w:t>
      </w:r>
      <w:r>
        <w:rPr>
          <w:rFonts w:ascii="Times New Roman" w:eastAsia="MS Mincho" w:hAnsi="Times New Roman" w:cs="Times New Roman"/>
          <w:sz w:val="24"/>
        </w:rPr>
        <w:br/>
        <w:t>7.</w:t>
      </w:r>
      <w:r>
        <w:rPr>
          <w:rFonts w:ascii="Times New Roman" w:eastAsia="MS Mincho" w:hAnsi="Times New Roman" w:cs="Times New Roman"/>
          <w:sz w:val="24"/>
        </w:rPr>
        <w:tab/>
        <w:t>„Dedication-Schrifft“ an 19 Frauenklöster mit autobiographischen Teilen. 5-13</w:t>
      </w:r>
      <w:r>
        <w:rPr>
          <w:rFonts w:ascii="Times New Roman" w:eastAsia="MS Mincho" w:hAnsi="Times New Roman" w:cs="Times New Roman"/>
          <w:sz w:val="24"/>
        </w:rPr>
        <w:br/>
        <w:t>8.</w:t>
      </w:r>
      <w:r>
        <w:rPr>
          <w:rFonts w:ascii="Times New Roman" w:eastAsia="MS Mincho" w:hAnsi="Times New Roman" w:cs="Times New Roman"/>
          <w:sz w:val="24"/>
        </w:rPr>
        <w:tab/>
        <w:t xml:space="preserve">Allgemeine Vorrede „An den günstigen Leser“ über die aus den ersten beiden </w:t>
      </w:r>
      <w:r>
        <w:rPr>
          <w:rFonts w:ascii="Times New Roman" w:eastAsia="MS Mincho" w:hAnsi="Times New Roman" w:cs="Times New Roman"/>
          <w:sz w:val="24"/>
        </w:rPr>
        <w:tab/>
      </w:r>
      <w:r>
        <w:rPr>
          <w:rFonts w:ascii="Times New Roman" w:eastAsia="MS Mincho" w:hAnsi="Times New Roman" w:cs="Times New Roman"/>
          <w:sz w:val="24"/>
        </w:rPr>
        <w:tab/>
      </w:r>
      <w:r>
        <w:rPr>
          <w:rFonts w:ascii="Times New Roman" w:eastAsia="MS Mincho" w:hAnsi="Times New Roman" w:cs="Times New Roman"/>
          <w:sz w:val="24"/>
        </w:rPr>
        <w:tab/>
        <w:t>Totenköpfen sprießenden Blumen (Electuarium). 14-18</w:t>
      </w:r>
      <w:r>
        <w:rPr>
          <w:rFonts w:ascii="Times New Roman" w:eastAsia="MS Mincho" w:hAnsi="Times New Roman" w:cs="Times New Roman"/>
          <w:sz w:val="24"/>
        </w:rPr>
        <w:br/>
        <w:t>9.</w:t>
      </w:r>
      <w:r>
        <w:rPr>
          <w:rFonts w:ascii="Times New Roman" w:eastAsia="MS Mincho" w:hAnsi="Times New Roman" w:cs="Times New Roman"/>
          <w:sz w:val="24"/>
        </w:rPr>
        <w:tab/>
        <w:t>„Fernere erleuterung von denen Todtenköpfen“. 19-22</w:t>
      </w:r>
      <w:r>
        <w:rPr>
          <w:rFonts w:ascii="Times New Roman" w:eastAsia="MS Mincho" w:hAnsi="Times New Roman" w:cs="Times New Roman"/>
          <w:sz w:val="24"/>
        </w:rPr>
        <w:br/>
        <w:t>10.  Emblematischer Teil, jeweils a) Gedicht und deutsches Gebet, b) Totenkopfbild</w:t>
      </w:r>
    </w:p>
    <w:p w:rsidR="00033488" w:rsidRDefault="00033488" w:rsidP="00033488">
      <w:pPr>
        <w:pStyle w:val="NurText"/>
        <w:spacing w:line="360" w:lineRule="auto"/>
        <w:ind w:left="284"/>
        <w:rPr>
          <w:rFonts w:ascii="Times New Roman" w:eastAsia="MS Mincho" w:hAnsi="Times New Roman" w:cs="Times New Roman"/>
          <w:sz w:val="24"/>
        </w:rPr>
      </w:pPr>
      <w:r>
        <w:rPr>
          <w:rFonts w:ascii="Times New Roman" w:eastAsia="MS Mincho" w:hAnsi="Times New Roman" w:cs="Times New Roman"/>
          <w:sz w:val="24"/>
        </w:rPr>
        <w:t xml:space="preserve"> </w:t>
      </w:r>
      <w:r>
        <w:rPr>
          <w:rFonts w:ascii="Times New Roman" w:eastAsia="MS Mincho" w:hAnsi="Times New Roman" w:cs="Times New Roman"/>
          <w:sz w:val="24"/>
        </w:rPr>
        <w:tab/>
      </w:r>
      <w:r>
        <w:rPr>
          <w:rFonts w:ascii="Times New Roman" w:eastAsia="MS Mincho" w:hAnsi="Times New Roman" w:cs="Times New Roman"/>
          <w:sz w:val="24"/>
        </w:rPr>
        <w:tab/>
        <w:t>mit verschiedenen Motiven, Bibelversen, außerhalb Übersetzungen und</w:t>
      </w:r>
      <w:r>
        <w:rPr>
          <w:rFonts w:ascii="Times New Roman" w:eastAsia="MS Mincho" w:hAnsi="Times New Roman" w:cs="Times New Roman"/>
          <w:sz w:val="24"/>
        </w:rPr>
        <w:tab/>
      </w:r>
      <w:r>
        <w:rPr>
          <w:rFonts w:ascii="Times New Roman" w:eastAsia="MS Mincho" w:hAnsi="Times New Roman" w:cs="Times New Roman"/>
          <w:sz w:val="24"/>
        </w:rPr>
        <w:tab/>
      </w:r>
      <w:r>
        <w:rPr>
          <w:rFonts w:ascii="Times New Roman" w:eastAsia="MS Mincho" w:hAnsi="Times New Roman" w:cs="Times New Roman"/>
          <w:sz w:val="24"/>
        </w:rPr>
        <w:tab/>
      </w:r>
      <w:r>
        <w:rPr>
          <w:rFonts w:ascii="Times New Roman" w:eastAsia="MS Mincho" w:hAnsi="Times New Roman" w:cs="Times New Roman"/>
          <w:sz w:val="24"/>
        </w:rPr>
        <w:tab/>
        <w:t>Über</w:t>
      </w:r>
      <w:r>
        <w:rPr>
          <w:rFonts w:ascii="Times New Roman" w:eastAsia="MS Mincho" w:hAnsi="Times New Roman" w:cs="Times New Roman"/>
          <w:sz w:val="24"/>
        </w:rPr>
        <w:softHyphen/>
      </w:r>
      <w:r>
        <w:rPr>
          <w:rFonts w:ascii="Times New Roman" w:eastAsia="MS Mincho" w:hAnsi="Times New Roman" w:cs="Times New Roman"/>
          <w:sz w:val="24"/>
        </w:rPr>
        <w:softHyphen/>
        <w:t>schrift, darunter ein lateinisches Gebet mit Refrain; zum Teil um</w:t>
      </w:r>
      <w:r>
        <w:rPr>
          <w:rFonts w:ascii="Times New Roman" w:eastAsia="MS Mincho" w:hAnsi="Times New Roman" w:cs="Times New Roman"/>
          <w:sz w:val="24"/>
        </w:rPr>
        <w:softHyphen/>
        <w:t>gekehrte Folge</w:t>
      </w:r>
    </w:p>
    <w:p w:rsidR="00033488" w:rsidRDefault="00033488" w:rsidP="00033488">
      <w:pPr>
        <w:pStyle w:val="NurText"/>
        <w:spacing w:line="360" w:lineRule="auto"/>
        <w:ind w:left="992" w:firstLine="424"/>
        <w:rPr>
          <w:rFonts w:ascii="Times New Roman" w:eastAsia="MS Mincho" w:hAnsi="Times New Roman" w:cs="Times New Roman"/>
          <w:sz w:val="24"/>
        </w:rPr>
      </w:pPr>
      <w:r>
        <w:rPr>
          <w:rFonts w:ascii="Times New Roman" w:eastAsia="MS Mincho" w:hAnsi="Times New Roman" w:cs="Times New Roman"/>
          <w:sz w:val="24"/>
        </w:rPr>
        <w:t>der beiden Seiten. 23-47</w:t>
      </w:r>
    </w:p>
    <w:p w:rsidR="00033488" w:rsidRDefault="00033488" w:rsidP="00033488">
      <w:pPr>
        <w:pStyle w:val="NurText"/>
        <w:spacing w:line="360" w:lineRule="auto"/>
        <w:ind w:left="284"/>
        <w:rPr>
          <w:rFonts w:ascii="Times New Roman" w:eastAsia="MS Mincho" w:hAnsi="Times New Roman" w:cs="Times New Roman"/>
          <w:sz w:val="24"/>
        </w:rPr>
      </w:pPr>
      <w:r>
        <w:rPr>
          <w:rFonts w:ascii="Times New Roman" w:eastAsia="MS Mincho" w:hAnsi="Times New Roman" w:cs="Times New Roman"/>
          <w:sz w:val="24"/>
        </w:rPr>
        <w:t>11.</w:t>
      </w:r>
      <w:r>
        <w:rPr>
          <w:rFonts w:ascii="Times New Roman" w:eastAsia="MS Mincho" w:hAnsi="Times New Roman" w:cs="Times New Roman"/>
          <w:sz w:val="24"/>
        </w:rPr>
        <w:tab/>
        <w:t>Entwurf für Megerles Epitaph. (48f.)</w:t>
      </w:r>
      <w:r>
        <w:rPr>
          <w:rFonts w:ascii="Times New Roman" w:eastAsia="MS Mincho" w:hAnsi="Times New Roman" w:cs="Times New Roman"/>
          <w:sz w:val="24"/>
        </w:rPr>
        <w:br/>
        <w:t>12.</w:t>
      </w:r>
      <w:r>
        <w:rPr>
          <w:rFonts w:ascii="Times New Roman" w:eastAsia="MS Mincho" w:hAnsi="Times New Roman" w:cs="Times New Roman"/>
          <w:sz w:val="24"/>
        </w:rPr>
        <w:tab/>
        <w:t>Entwurf für Megerles „super Tumulum“. (50)</w:t>
      </w: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Durch die mehrfach gestaffelten, lateinischen und deutschen Titel, Widmungsreden und Erläuterungen baut sich das Werk gewissermaßen in einer rhetorisch motivierten Verzögerung und Bedeutungsanreicherung auf, die im 17. Jahrhundert an sich nicht ungewöhnlich ist, hier aber angesichts des geringen Umfangs der Schrift eigenartig auffällt.</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Megerles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ist, wie viele literarische Werke des 17. Jahrhunderts, zweisprachig angelegt. Damit sind gleichzeitig zwei verschiedene Funktionsebenen angesprochen, eine offiziell-gelehrte Wirkung und eine mehr praktische und persönliche. Selbstverständlich </w:t>
      </w:r>
      <w:r w:rsidR="008C1843">
        <w:rPr>
          <w:rFonts w:ascii="Times New Roman" w:eastAsia="MS Mincho" w:hAnsi="Times New Roman" w:cs="Times New Roman"/>
          <w:sz w:val="24"/>
        </w:rPr>
        <w:t>sind</w:t>
      </w:r>
      <w:r>
        <w:rPr>
          <w:rFonts w:ascii="Times New Roman" w:eastAsia="MS Mincho" w:hAnsi="Times New Roman" w:cs="Times New Roman"/>
          <w:sz w:val="24"/>
        </w:rPr>
        <w:t xml:space="preserve"> das Titelblatt und die Widmungsrede lateinisch gehalten, aber auch die ohne Seitenzählung angehängten drei Blätter mit Inschriften für Megerles Gräber. So ergibt sich ein lateinischer Rahmen um einen im </w:t>
      </w:r>
      <w:proofErr w:type="gramStart"/>
      <w:r>
        <w:rPr>
          <w:rFonts w:ascii="Times New Roman" w:eastAsia="MS Mincho" w:hAnsi="Times New Roman" w:cs="Times New Roman"/>
          <w:sz w:val="24"/>
        </w:rPr>
        <w:t>wesentlichen</w:t>
      </w:r>
      <w:proofErr w:type="gramEnd"/>
      <w:r>
        <w:rPr>
          <w:rFonts w:ascii="Times New Roman" w:eastAsia="MS Mincho" w:hAnsi="Times New Roman" w:cs="Times New Roman"/>
          <w:sz w:val="24"/>
        </w:rPr>
        <w:t xml:space="preserve"> deutschen Text, der die Seiten 5 bis 48 umfasst. Der doppelte Titel auf Seite 5 betont den Umschlag vom Lateinischen zum Volkssprachlichen: „Speculum Musico-Mortuale Das ist: Musicalischer Todtenspiegel Abrahami Megerle“, ebenso wie verschiedene lateinische Zitate im Verlauf des Textes (aus der Vulgata-Bibel und der </w:t>
      </w:r>
      <w:r>
        <w:rPr>
          <w:rFonts w:ascii="Times New Roman" w:eastAsia="MS Mincho" w:hAnsi="Times New Roman" w:cs="Times New Roman"/>
          <w:i/>
          <w:iCs/>
          <w:sz w:val="24"/>
        </w:rPr>
        <w:t>Imitatio Christi</w:t>
      </w:r>
      <w:r>
        <w:rPr>
          <w:rFonts w:ascii="Times New Roman" w:eastAsia="MS Mincho" w:hAnsi="Times New Roman" w:cs="Times New Roman"/>
          <w:sz w:val="24"/>
        </w:rPr>
        <w:t xml:space="preserve"> des Thomas von Kempen), die immer anschließend ins Deutsche übersetzt werden.</w:t>
      </w:r>
      <w:r>
        <w:rPr>
          <w:rStyle w:val="Funotenzeichen"/>
          <w:rFonts w:ascii="Times New Roman" w:eastAsia="MS Mincho" w:hAnsi="Times New Roman" w:cs="Times New Roman"/>
          <w:sz w:val="24"/>
        </w:rPr>
        <w:footnoteReference w:id="98"/>
      </w:r>
      <w:r>
        <w:rPr>
          <w:rFonts w:ascii="Times New Roman" w:eastAsia="MS Mincho" w:hAnsi="Times New Roman" w:cs="Times New Roman"/>
          <w:sz w:val="24"/>
        </w:rPr>
        <w:t xml:space="preserve"> Auch die Seite 15 bis 18 aufgeführten lateinischen Blumennamen aus Megerles </w:t>
      </w:r>
      <w:r>
        <w:rPr>
          <w:rFonts w:ascii="Times New Roman" w:eastAsia="MS Mincho" w:hAnsi="Times New Roman" w:cs="Times New Roman"/>
          <w:i/>
          <w:iCs/>
          <w:sz w:val="24"/>
        </w:rPr>
        <w:t xml:space="preserve">Electuarium </w:t>
      </w:r>
      <w:r>
        <w:rPr>
          <w:rFonts w:ascii="Times New Roman" w:eastAsia="MS Mincho" w:hAnsi="Times New Roman" w:cs="Times New Roman"/>
          <w:sz w:val="24"/>
        </w:rPr>
        <w:t xml:space="preserve">werden immer verdeutscht, schließlich die bei den ersten zwölf Totenkopfbildern zitierten Vulgataverse oder Worte aus dem </w:t>
      </w:r>
      <w:r>
        <w:rPr>
          <w:rFonts w:ascii="Times New Roman" w:eastAsia="MS Mincho" w:hAnsi="Times New Roman" w:cs="Times New Roman"/>
          <w:i/>
          <w:iCs/>
          <w:sz w:val="24"/>
        </w:rPr>
        <w:t>Rituale Romanum</w:t>
      </w:r>
      <w:r>
        <w:rPr>
          <w:rFonts w:ascii="Times New Roman" w:eastAsia="MS Mincho" w:hAnsi="Times New Roman" w:cs="Times New Roman"/>
          <w:sz w:val="24"/>
        </w:rPr>
        <w:t xml:space="preserve"> bzw. </w:t>
      </w:r>
      <w:r>
        <w:rPr>
          <w:rFonts w:ascii="Times New Roman" w:eastAsia="MS Mincho" w:hAnsi="Times New Roman" w:cs="Times New Roman"/>
          <w:i/>
          <w:iCs/>
          <w:sz w:val="24"/>
        </w:rPr>
        <w:t>Rituale Salisburgensis</w:t>
      </w:r>
      <w:r>
        <w:rPr>
          <w:rFonts w:ascii="Times New Roman" w:eastAsia="MS Mincho" w:hAnsi="Times New Roman" w:cs="Times New Roman"/>
          <w:sz w:val="24"/>
        </w:rPr>
        <w:t xml:space="preserve">. Nicht übersetzt werden bis auf eine Ausnahme die in den Bildern 6 und 7 (S. 33, 36) wiedergegebenen größtenteils liturgischen Gesänge sowie die lateinischen Gebete unter allen Totenkopfbildern. Diese sind aber in den Nummern 4 bis 13 bis auf </w:t>
      </w:r>
      <w:r>
        <w:rPr>
          <w:rFonts w:ascii="Times New Roman" w:eastAsia="MS Mincho" w:hAnsi="Times New Roman" w:cs="Times New Roman"/>
          <w:sz w:val="24"/>
        </w:rPr>
        <w:lastRenderedPageBreak/>
        <w:t>eine wechselnde Zeile nach der Art des Rosenkranzes identisch, ja können auch durch einen Rosenkranz ersetzt werden. Es ist somit für den Leser, der des Lateinischen nicht kundig ist, möglich, die Schrift in allen wesentlichen Teilen zu verstehen. Megerle denkt dabei vor allem an die Seite 5ff. genannten Nonnenklöster, wendet sich Seite 14ff. aber auch allgemein „An den günstigen Leser“. Dagegen ist die feierliche lateinische Apostrophe aus dem Grab an die Mitgleider des Altöttinger Kollegiatstifts gerichtet, zunächst an dessen Propst, den Freisinger und Regensburger Fürstbischof Albert Sigismund sowie an den Dechant Achatius Viertl.</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Über die Unterscheidung von Theologen einerseits, Nonnen und Laien andererseits deutet die sprachliche Differenzierung aber auch eine Gegenüberstellung von Diesseits und Jenseits an. Die lateinische Sprache verweist dabei insofern auf die Ewigkeit, als sie die Sprache der heiligen und heilsverheißenden Texte aus Vulgata und Liturgie ist, aber auch insofern die lateinische Vorrede „ex tumba“ gehalten wird, d.h. von einem bereits Verstorbenen. Entsprechend stellt Megerle sich darin als einen im Himmel triumphierenden Kapellmeister dar („in terris solutus, nunc ad astra erectus, Jo triumphe canens ...“). Als Klerikersprache unterstreicht das Lateinische außerdem den (nach scholastischer Vorstellung) höheren Seinsstatus der Priesterschaft.</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Der Stil des Lateinischen entspricht der seit dem Humanismus geltenden, im katholischen Bereich vor allem durch die Jesuiten vertretenen Orientierung am klassischen rhetorischen Ideal, insbesondere eines Cicero. Megerles Vorliebe für Superlative, rhetorische Fragen, Ausrufe und andere Affektfiguren kennzeichnet das Stilniveau näherhin als genus grande oder gravis.</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Ein weit weniger pathetischer Stil beherrscht die deutschen Vorreden und Erläuterungen sowie die lateinischen und deutschen Gebete, die die Totenkopfbilder umgeben. Er entspricht dem genus mediocris. Die deutschen Texte sind hier in einem im 17. Jahrhundert normalen Deutsch verfasst, das nur gelegentlich und unauffällig eine Nähe zum süddeutschen Idiom verrät. Inhaltlich geht es in allen diesen Texten um die Ausrichtung der vergänglichen irdischen Welt und ihrer Signaturen auf die himmlische. Vor allem die eingefügten lateinischen Gebete beschwören mit ihren Passionsstationen bzw. heilbringenden arma Christi das Modell der per aspera ad astra auf die ecclesia triumphans ausgerichteten ecclesia militans.</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Wesentlich volkstümlicher und damit dem genus humilis zugehörig erscheinen dagegen die zu den dreizehn Totenkopfbildern verfassten Verse, die immer wieder zu Ausdrucksweisen des bairischen</w:t>
      </w:r>
      <w:r>
        <w:rPr>
          <w:rStyle w:val="Funotenzeichen"/>
          <w:rFonts w:ascii="Times New Roman" w:eastAsia="MS Mincho" w:hAnsi="Times New Roman" w:cs="Times New Roman"/>
          <w:sz w:val="24"/>
        </w:rPr>
        <w:footnoteReference w:id="99"/>
      </w:r>
      <w:r>
        <w:rPr>
          <w:rFonts w:ascii="Times New Roman" w:eastAsia="MS Mincho" w:hAnsi="Times New Roman" w:cs="Times New Roman"/>
          <w:sz w:val="24"/>
        </w:rPr>
        <w:t xml:space="preserve"> Dialekts greifen, z.B. : „Porten“ (S. 30), „Huet“ (S. 42) oder „Harpffen“ (S. 43) Die allermeisten Dialekteinschläge ergeben sich aus Synkopen und Apokopen, wodurch meist  ein regelmäßiges Metrum eingehalten werden soll, z.B. im zweiten Gedicht:</w:t>
      </w:r>
    </w:p>
    <w:p w:rsidR="00033488" w:rsidRDefault="00033488" w:rsidP="00033488">
      <w:pPr>
        <w:pStyle w:val="NurText"/>
        <w:ind w:left="284"/>
        <w:rPr>
          <w:rFonts w:ascii="Times New Roman" w:eastAsia="MS Mincho" w:hAnsi="Times New Roman" w:cs="Times New Roman"/>
          <w:sz w:val="24"/>
        </w:rPr>
      </w:pPr>
      <w:r>
        <w:rPr>
          <w:rFonts w:ascii="Times New Roman" w:eastAsia="MS Mincho" w:hAnsi="Times New Roman" w:cs="Times New Roman"/>
          <w:sz w:val="24"/>
        </w:rPr>
        <w:lastRenderedPageBreak/>
        <w:t>„Der Todt ist gwiß / die Zeit vngwiß /</w:t>
      </w:r>
      <w:r>
        <w:rPr>
          <w:rFonts w:ascii="Times New Roman" w:eastAsia="MS Mincho" w:hAnsi="Times New Roman" w:cs="Times New Roman"/>
          <w:sz w:val="24"/>
        </w:rPr>
        <w:br/>
        <w:t>Darff niembt auff sein Stärck bawen /</w:t>
      </w:r>
      <w:r>
        <w:rPr>
          <w:rFonts w:ascii="Times New Roman" w:eastAsia="MS Mincho" w:hAnsi="Times New Roman" w:cs="Times New Roman"/>
          <w:sz w:val="24"/>
        </w:rPr>
        <w:br/>
        <w:t>Wann d`Gloggen schlagt / all man nauß tragt ...“</w:t>
      </w:r>
      <w:r>
        <w:rPr>
          <w:rStyle w:val="Funotenzeichen"/>
          <w:rFonts w:ascii="Times New Roman" w:eastAsia="MS Mincho" w:hAnsi="Times New Roman" w:cs="Times New Roman"/>
          <w:sz w:val="24"/>
        </w:rPr>
        <w:footnoteReference w:id="100"/>
      </w:r>
    </w:p>
    <w:p w:rsidR="00033488" w:rsidRDefault="00033488" w:rsidP="00033488">
      <w:pPr>
        <w:pStyle w:val="NurText"/>
        <w:ind w:firstLine="284"/>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Man könnte von daher den Eindruck haben, die dialektmäßigen Verkürzungen seien nur um des Metrums willen in Kauf genommen worden. Doch wird dieses gelegentlich ohnehin durchbrochen, nämlich durch (zum Teil unnötige) zusätzliche, seltener auch fehlende Silben. Gleich die zweite Zeile des ersten Gedichtes zeigt eine dialektartige Verkürzung zugunsten und eine unnötige Erweiterung auf Kosten des prinzipiell alternierenden Metrums:</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      .         /     .      /     .      /   .    .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„Wird d`Kertzen brinnen frühe vnd spat“.</w:t>
      </w:r>
      <w:r>
        <w:rPr>
          <w:rStyle w:val="Funotenzeichen"/>
          <w:rFonts w:ascii="Times New Roman" w:eastAsia="MS Mincho" w:hAnsi="Times New Roman" w:cs="Times New Roman"/>
          <w:sz w:val="24"/>
        </w:rPr>
        <w:footnoteReference w:id="101"/>
      </w: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Solche metrischen Unregelmäßigkeiten sind wiederum nicht so häufig, dass die Gedichte als freie Knittelverse aufgefasst werden könnten. Vielmehr ist im Metrum der Gedichte, mit Ausnahme des ersten und letzten, durchaus eine gewisse Norm zu erkennen: acht jambische Verse mit abwechselnd vier und drei Hebungen</w:t>
      </w:r>
      <w:r>
        <w:rPr>
          <w:rStyle w:val="Funotenzeichen"/>
          <w:rFonts w:ascii="Times New Roman" w:eastAsia="MS Mincho" w:hAnsi="Times New Roman" w:cs="Times New Roman"/>
          <w:sz w:val="24"/>
        </w:rPr>
        <w:footnoteReference w:id="102"/>
      </w:r>
      <w:r>
        <w:rPr>
          <w:rFonts w:ascii="Times New Roman" w:eastAsia="MS Mincho" w:hAnsi="Times New Roman" w:cs="Times New Roman"/>
          <w:sz w:val="24"/>
        </w:rPr>
        <w:t>, erstere normalerweise mit männlicher, letztere mit weiblicher Kadenz. Das Reimschema baut sich prinzipiell in Kreuzreimen auf, doch steht an Stelle der dritten Reimantwort, also nach der siebten Zeile, normalerweise ein Inreim (Zäsurreim), wodurch die fünfte Zeile zur Waise wird. So ergibt sich folgendes Grundschema:</w:t>
      </w:r>
    </w:p>
    <w:p w:rsidR="00033488" w:rsidRDefault="00033488" w:rsidP="00033488">
      <w:pPr>
        <w:pStyle w:val="NurText"/>
        <w:spacing w:line="360" w:lineRule="auto"/>
        <w:ind w:left="284"/>
        <w:jc w:val="both"/>
        <w:rPr>
          <w:rFonts w:ascii="Times New Roman" w:eastAsia="MS Mincho" w:hAnsi="Times New Roman" w:cs="Times New Roman"/>
          <w:sz w:val="24"/>
        </w:rPr>
      </w:pPr>
      <w:r>
        <w:rPr>
          <w:rFonts w:ascii="Times New Roman" w:eastAsia="MS Mincho" w:hAnsi="Times New Roman" w:cs="Times New Roman"/>
          <w:sz w:val="24"/>
        </w:rPr>
        <w:t xml:space="preserve">. / . / . / . / </w:t>
      </w:r>
      <w:r>
        <w:rPr>
          <w:rFonts w:ascii="Times New Roman" w:eastAsia="MS Mincho" w:hAnsi="Times New Roman" w:cs="Times New Roman"/>
          <w:sz w:val="24"/>
        </w:rPr>
        <w:tab/>
        <w:t xml:space="preserve"> a</w:t>
      </w:r>
      <w:r>
        <w:rPr>
          <w:rFonts w:ascii="Times New Roman" w:eastAsia="MS Mincho" w:hAnsi="Times New Roman" w:cs="Times New Roman"/>
          <w:sz w:val="24"/>
        </w:rPr>
        <w:br/>
        <w:t xml:space="preserve">. / . / . / .  </w:t>
      </w:r>
      <w:r>
        <w:rPr>
          <w:rFonts w:ascii="Times New Roman" w:eastAsia="MS Mincho" w:hAnsi="Times New Roman" w:cs="Times New Roman"/>
          <w:sz w:val="24"/>
        </w:rPr>
        <w:tab/>
        <w:t xml:space="preserve"> b</w:t>
      </w:r>
      <w:r>
        <w:rPr>
          <w:rFonts w:ascii="Times New Roman" w:eastAsia="MS Mincho" w:hAnsi="Times New Roman" w:cs="Times New Roman"/>
          <w:sz w:val="24"/>
        </w:rPr>
        <w:br/>
        <w:t xml:space="preserve">. / . / . / . / </w:t>
      </w:r>
      <w:r>
        <w:rPr>
          <w:rFonts w:ascii="Times New Roman" w:eastAsia="MS Mincho" w:hAnsi="Times New Roman" w:cs="Times New Roman"/>
          <w:sz w:val="24"/>
        </w:rPr>
        <w:tab/>
        <w:t xml:space="preserve"> a</w:t>
      </w:r>
      <w:r>
        <w:rPr>
          <w:rFonts w:ascii="Times New Roman" w:eastAsia="MS Mincho" w:hAnsi="Times New Roman" w:cs="Times New Roman"/>
          <w:sz w:val="24"/>
        </w:rPr>
        <w:br/>
        <w:t xml:space="preserve">. / . / . / .  </w:t>
      </w:r>
      <w:r>
        <w:rPr>
          <w:rFonts w:ascii="Times New Roman" w:eastAsia="MS Mincho" w:hAnsi="Times New Roman" w:cs="Times New Roman"/>
          <w:sz w:val="24"/>
        </w:rPr>
        <w:tab/>
        <w:t xml:space="preserve"> b</w:t>
      </w:r>
      <w:r>
        <w:rPr>
          <w:rFonts w:ascii="Times New Roman" w:eastAsia="MS Mincho" w:hAnsi="Times New Roman" w:cs="Times New Roman"/>
          <w:sz w:val="24"/>
        </w:rPr>
        <w:br/>
        <w:t xml:space="preserve">. / . / . / . / </w:t>
      </w:r>
      <w:r>
        <w:rPr>
          <w:rFonts w:ascii="Times New Roman" w:eastAsia="MS Mincho" w:hAnsi="Times New Roman" w:cs="Times New Roman"/>
          <w:sz w:val="24"/>
        </w:rPr>
        <w:tab/>
        <w:t xml:space="preserve"> c</w:t>
      </w:r>
      <w:r>
        <w:rPr>
          <w:rFonts w:ascii="Times New Roman" w:eastAsia="MS Mincho" w:hAnsi="Times New Roman" w:cs="Times New Roman"/>
          <w:sz w:val="24"/>
        </w:rPr>
        <w:br/>
        <w:t xml:space="preserve">. / . / . / .  </w:t>
      </w:r>
      <w:r>
        <w:rPr>
          <w:rFonts w:ascii="Times New Roman" w:eastAsia="MS Mincho" w:hAnsi="Times New Roman" w:cs="Times New Roman"/>
          <w:sz w:val="24"/>
        </w:rPr>
        <w:tab/>
        <w:t xml:space="preserve"> d</w:t>
      </w:r>
      <w:r>
        <w:rPr>
          <w:rFonts w:ascii="Times New Roman" w:eastAsia="MS Mincho" w:hAnsi="Times New Roman" w:cs="Times New Roman"/>
          <w:sz w:val="24"/>
        </w:rPr>
        <w:br/>
        <w:t>. / . / . / . / .</w:t>
      </w:r>
      <w:r>
        <w:rPr>
          <w:rFonts w:ascii="Times New Roman" w:eastAsia="MS Mincho" w:hAnsi="Times New Roman" w:cs="Times New Roman"/>
          <w:sz w:val="24"/>
        </w:rPr>
        <w:tab/>
        <w:t xml:space="preserve"> ee</w:t>
      </w:r>
      <w:r>
        <w:rPr>
          <w:rFonts w:ascii="Times New Roman" w:eastAsia="MS Mincho" w:hAnsi="Times New Roman" w:cs="Times New Roman"/>
          <w:sz w:val="24"/>
        </w:rPr>
        <w:br/>
        <w:t xml:space="preserve">. / . / . / .  </w:t>
      </w:r>
      <w:r>
        <w:rPr>
          <w:rFonts w:ascii="Times New Roman" w:eastAsia="MS Mincho" w:hAnsi="Times New Roman" w:cs="Times New Roman"/>
          <w:sz w:val="24"/>
        </w:rPr>
        <w:tab/>
        <w:t xml:space="preserve"> d</w:t>
      </w: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 xml:space="preserve">In metrischer Hinsicht halten sich nur die Gedichte 3, 4, 9 und 10 streng an dieses Schema, von gelegentlichen Tonversetzungen abgesehen. In allen anderen finden sich entweder überzählige Silben (in Nr. 1, 2, 5, 8, 11, 12, 13) oder fehlende (in Nr. 6, 7). Das genannte Reimschema erfüllen die Gedichte Nr. 4, 6, 7, 9 und 11 (mit gelegentlichen unreinen oder identischen Reimen). Die Gedichte 2, 3 und 8 zeigen zusätzlich in der fünften Zeile Binnenreime; die Nummern 5, 10, 12 und 13 (erste Strophe) verzichten auf Binnenreime in der zweiten Hälfte und setzen stattdessen das Kreuzreimschema fort. Ganz aus der Norm </w:t>
      </w:r>
      <w:proofErr w:type="gramStart"/>
      <w:r>
        <w:rPr>
          <w:rFonts w:ascii="Times New Roman" w:eastAsia="MS Mincho" w:hAnsi="Times New Roman" w:cs="Times New Roman"/>
          <w:sz w:val="24"/>
        </w:rPr>
        <w:t>fällt</w:t>
      </w:r>
      <w:proofErr w:type="gramEnd"/>
      <w:r>
        <w:rPr>
          <w:rFonts w:ascii="Times New Roman" w:eastAsia="MS Mincho" w:hAnsi="Times New Roman" w:cs="Times New Roman"/>
          <w:sz w:val="24"/>
        </w:rPr>
        <w:t xml:space="preserve"> das erste Gedicht, das nach acht Zeilen in </w:t>
      </w:r>
      <w:r>
        <w:rPr>
          <w:rFonts w:ascii="Times New Roman" w:eastAsia="MS Mincho" w:hAnsi="Times New Roman" w:cs="Times New Roman"/>
          <w:sz w:val="24"/>
        </w:rPr>
        <w:lastRenderedPageBreak/>
        <w:t xml:space="preserve">Paarreimbindung, vier mit umschließendem Reim bringt, sowie die zweite, sechszeilige Strophe des letzten Gedichtes.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Diese Strophe ist insofern besonders interessant als hier die „Mensur“, von der im 9. Gedicht (einem der regulärsten) die Rede war, gründlich zerbrochen wird, und zwar unter dem Motto der ganzen Schrift (vgl. S. 12): „Vanitas Vanitatum &amp; omnia Vanitas“. Zunächst ist die Strophe von acht auf sechs Verse verkürzt; dann löst sich das Reimschema in der Anordnung völlig auf, und führt qualitativ nur noch zu Assonanz, unreinem und identischem Reim; schließlich zerschellt in der letzten Zeile auch das alternierende Metrum durch das überzählig eingefügte „sonst“. Der Zentralbegriff und die Grundthese des Gedichts und der ganzen Schrift, konzentriert in dem unabweislichen und endgültigen Wort „eytel“, wird mit identischem Reim und darüber hinausgehender Parallele zwischen zweiter und letzter Zeile herausgestellt. Demgegenüber steht die Antithese</w:t>
      </w:r>
      <w:r>
        <w:rPr>
          <w:rStyle w:val="Funotenzeichen"/>
          <w:rFonts w:ascii="Times New Roman" w:eastAsia="MS Mincho" w:hAnsi="Times New Roman" w:cs="Times New Roman"/>
          <w:sz w:val="24"/>
        </w:rPr>
        <w:footnoteReference w:id="103"/>
      </w:r>
      <w:r>
        <w:rPr>
          <w:rFonts w:ascii="Times New Roman" w:eastAsia="MS Mincho" w:hAnsi="Times New Roman" w:cs="Times New Roman"/>
          <w:sz w:val="24"/>
        </w:rPr>
        <w:t xml:space="preserve"> der viert- bis vorletzten Zeile, durch Assonanz und unreinen Reim sowie das dreimalige „allein“ verschmolzen.</w:t>
      </w:r>
    </w:p>
    <w:p w:rsidR="00033488" w:rsidRDefault="00033488" w:rsidP="00033488">
      <w:pPr>
        <w:pStyle w:val="NurText"/>
        <w:ind w:firstLine="284"/>
        <w:jc w:val="both"/>
        <w:rPr>
          <w:rFonts w:ascii="Times New Roman" w:eastAsia="MS Mincho" w:hAnsi="Times New Roman" w:cs="Times New Roman"/>
          <w:sz w:val="24"/>
        </w:rPr>
      </w:pPr>
      <w:r>
        <w:rPr>
          <w:rFonts w:ascii="Times New Roman" w:eastAsia="MS Mincho" w:hAnsi="Times New Roman" w:cs="Times New Roman"/>
          <w:sz w:val="24"/>
        </w:rPr>
        <w:t>„Ich sih das alles Eytel ist /</w:t>
      </w:r>
    </w:p>
    <w:p w:rsidR="00033488" w:rsidRDefault="00033488" w:rsidP="00033488">
      <w:pPr>
        <w:pStyle w:val="NurText"/>
        <w:ind w:firstLine="284"/>
        <w:jc w:val="both"/>
        <w:rPr>
          <w:rFonts w:ascii="Times New Roman" w:eastAsia="MS Mincho" w:hAnsi="Times New Roman" w:cs="Times New Roman"/>
          <w:sz w:val="24"/>
        </w:rPr>
      </w:pPr>
      <w:r>
        <w:rPr>
          <w:rFonts w:ascii="Times New Roman" w:eastAsia="MS Mincho" w:hAnsi="Times New Roman" w:cs="Times New Roman"/>
          <w:sz w:val="24"/>
        </w:rPr>
        <w:t>Ist eytel / eytel / eytel!</w:t>
      </w:r>
    </w:p>
    <w:p w:rsidR="00033488" w:rsidRDefault="00033488" w:rsidP="00033488">
      <w:pPr>
        <w:pStyle w:val="NurText"/>
        <w:ind w:firstLine="284"/>
        <w:jc w:val="both"/>
        <w:rPr>
          <w:rFonts w:ascii="Times New Roman" w:eastAsia="MS Mincho" w:hAnsi="Times New Roman" w:cs="Times New Roman"/>
          <w:sz w:val="24"/>
        </w:rPr>
      </w:pPr>
      <w:r>
        <w:rPr>
          <w:rFonts w:ascii="Times New Roman" w:eastAsia="MS Mincho" w:hAnsi="Times New Roman" w:cs="Times New Roman"/>
          <w:sz w:val="24"/>
        </w:rPr>
        <w:t>Nit eytel ist allein GOtt lieben /</w:t>
      </w:r>
    </w:p>
    <w:p w:rsidR="00033488" w:rsidRDefault="00033488" w:rsidP="00033488">
      <w:pPr>
        <w:pStyle w:val="NurText"/>
        <w:ind w:firstLine="284"/>
        <w:jc w:val="both"/>
        <w:rPr>
          <w:rFonts w:ascii="Times New Roman" w:eastAsia="MS Mincho" w:hAnsi="Times New Roman" w:cs="Times New Roman"/>
          <w:sz w:val="24"/>
        </w:rPr>
      </w:pPr>
      <w:r>
        <w:rPr>
          <w:rFonts w:ascii="Times New Roman" w:eastAsia="MS Mincho" w:hAnsi="Times New Roman" w:cs="Times New Roman"/>
          <w:sz w:val="24"/>
        </w:rPr>
        <w:t>Allein darzu jhm dienen;</w:t>
      </w:r>
    </w:p>
    <w:p w:rsidR="00033488" w:rsidRDefault="00033488" w:rsidP="00033488">
      <w:pPr>
        <w:pStyle w:val="NurText"/>
        <w:ind w:firstLine="284"/>
        <w:jc w:val="both"/>
        <w:rPr>
          <w:rFonts w:ascii="Times New Roman" w:eastAsia="MS Mincho" w:hAnsi="Times New Roman" w:cs="Times New Roman"/>
          <w:sz w:val="24"/>
        </w:rPr>
      </w:pPr>
      <w:r>
        <w:rPr>
          <w:rFonts w:ascii="Times New Roman" w:eastAsia="MS Mincho" w:hAnsi="Times New Roman" w:cs="Times New Roman"/>
          <w:sz w:val="24"/>
        </w:rPr>
        <w:t>Allein diß wird dich nit betrüben</w:t>
      </w:r>
    </w:p>
    <w:p w:rsidR="00033488" w:rsidRDefault="00033488" w:rsidP="00033488">
      <w:pPr>
        <w:pStyle w:val="NurText"/>
        <w:ind w:firstLine="284"/>
        <w:jc w:val="both"/>
        <w:rPr>
          <w:rFonts w:ascii="Times New Roman" w:eastAsia="MS Mincho" w:hAnsi="Times New Roman" w:cs="Times New Roman"/>
          <w:sz w:val="24"/>
        </w:rPr>
      </w:pPr>
      <w:r>
        <w:rPr>
          <w:rFonts w:ascii="Times New Roman" w:eastAsia="MS Mincho" w:hAnsi="Times New Roman" w:cs="Times New Roman"/>
          <w:sz w:val="24"/>
        </w:rPr>
        <w:t>Ist alles sonst eytel / eytel.“</w:t>
      </w:r>
      <w:r>
        <w:rPr>
          <w:rStyle w:val="Funotenzeichen"/>
          <w:rFonts w:ascii="Times New Roman" w:eastAsia="MS Mincho" w:hAnsi="Times New Roman" w:cs="Times New Roman"/>
          <w:sz w:val="24"/>
        </w:rPr>
        <w:footnoteReference w:id="104"/>
      </w:r>
    </w:p>
    <w:p w:rsidR="00033488" w:rsidRDefault="00033488" w:rsidP="00033488">
      <w:pPr>
        <w:pStyle w:val="NurText"/>
        <w:ind w:firstLine="284"/>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Von hier aus betrachtet lässt sich zumindest fragen, ob Megerles Gedichte, die nach den Versreformen eines Martin Opitz und - für ihn sicher maßgeblicher - Friedrich Spee eigenartig unbeholfen, holprig und altertümlich wirken, ohne direkt Knittelverse zu sein, nicht eher aus Absicht als aus poetischer Unfähigkeit herrühren, nämlich der Absicht, im fragilen Versbau ein Sinnbild der irdischen Gebrechlichkeiten zu geben, von denen inhaltlich die Rede ist. Dies würde auch den Sinn des hier herrschenden genus humilis als einer Sprachebene erklären, die ganz dem „Irdischen“ verhaftet ist.</w:t>
      </w:r>
      <w:r>
        <w:rPr>
          <w:rStyle w:val="Funotenzeichen"/>
          <w:rFonts w:ascii="Times New Roman" w:eastAsia="MS Mincho" w:hAnsi="Times New Roman" w:cs="Times New Roman"/>
          <w:sz w:val="24"/>
        </w:rPr>
        <w:footnoteReference w:id="105"/>
      </w:r>
      <w:r>
        <w:rPr>
          <w:rFonts w:ascii="Times New Roman" w:eastAsia="MS Mincho" w:hAnsi="Times New Roman" w:cs="Times New Roman"/>
          <w:sz w:val="24"/>
        </w:rPr>
        <w:t xml:space="preserve"> Was kunstvoll an diesen Versen erscheinen mag, enthält formal immer schon das Moment des Unvollkommenen in sich und weist damit auf die Vanitasverfallenheit der Kunst selbst hin. Dieser Deutung nach klingt freilich auch in der Ankündigung der Verse im Titel, „elegantibus Rhythmis“, ein metaphysischer Vorbehalt durch. Gleichzeitig wird der Vanitasgedanke inhaltlich ausgebreitet, und zwar in Beziehung auf die Motivik der Kupferstiche.</w:t>
      </w:r>
      <w:r>
        <w:rPr>
          <w:rStyle w:val="Funotenzeichen"/>
          <w:rFonts w:ascii="Times New Roman" w:eastAsia="MS Mincho" w:hAnsi="Times New Roman" w:cs="Times New Roman"/>
          <w:sz w:val="24"/>
        </w:rPr>
        <w:footnoteReference w:id="106"/>
      </w:r>
      <w:r>
        <w:rPr>
          <w:rFonts w:ascii="Times New Roman" w:eastAsia="MS Mincho" w:hAnsi="Times New Roman" w:cs="Times New Roman"/>
          <w:sz w:val="24"/>
        </w:rPr>
        <w:t xml:space="preserve"> </w:t>
      </w:r>
      <w:r>
        <w:rPr>
          <w:rFonts w:ascii="Times New Roman" w:eastAsia="MS Mincho" w:hAnsi="Times New Roman" w:cs="Times New Roman"/>
          <w:sz w:val="24"/>
        </w:rPr>
        <w:lastRenderedPageBreak/>
        <w:t>Dabei wird das Motiv herausgegriffen, das im Bild direkt über dem Totenkopf dargestellt ist und auch in der Überschrift über der Bildmitte benannt wird; in den Nummern 8-11 kommen weitere Motive der Bilder hinzu. Für die dreizehn Gedichte spielen folgende Bildmotive eine Rolle:</w:t>
      </w:r>
    </w:p>
    <w:p w:rsidR="00033488" w:rsidRDefault="00033488" w:rsidP="00033488">
      <w:pPr>
        <w:pStyle w:val="NurText"/>
        <w:spacing w:line="360" w:lineRule="auto"/>
        <w:ind w:left="284"/>
        <w:rPr>
          <w:rFonts w:ascii="Times New Roman" w:eastAsia="MS Mincho" w:hAnsi="Times New Roman" w:cs="Times New Roman"/>
          <w:sz w:val="24"/>
        </w:rPr>
      </w:pPr>
      <w:r>
        <w:rPr>
          <w:rFonts w:ascii="Times New Roman" w:eastAsia="MS Mincho" w:hAnsi="Times New Roman" w:cs="Times New Roman"/>
          <w:sz w:val="24"/>
        </w:rPr>
        <w:t>1)   „Ein brinnendes Liecht“ (Kerze)</w:t>
      </w:r>
      <w:r>
        <w:rPr>
          <w:rFonts w:ascii="Times New Roman" w:eastAsia="MS Mincho" w:hAnsi="Times New Roman" w:cs="Times New Roman"/>
          <w:sz w:val="24"/>
        </w:rPr>
        <w:br/>
        <w:t>2)   „Die größte Glogg“ (Totenglocke)</w:t>
      </w:r>
      <w:r>
        <w:rPr>
          <w:rFonts w:ascii="Times New Roman" w:eastAsia="MS Mincho" w:hAnsi="Times New Roman" w:cs="Times New Roman"/>
          <w:sz w:val="24"/>
        </w:rPr>
        <w:br/>
        <w:t>3)   „Chor-Böltz“ (Pelzalmutie)</w:t>
      </w:r>
      <w:r>
        <w:rPr>
          <w:rFonts w:ascii="Times New Roman" w:eastAsia="MS Mincho" w:hAnsi="Times New Roman" w:cs="Times New Roman"/>
          <w:sz w:val="24"/>
        </w:rPr>
        <w:br/>
        <w:t>4)   „Chorrock“ (Superpelliceum)</w:t>
      </w:r>
      <w:r>
        <w:rPr>
          <w:rFonts w:ascii="Times New Roman" w:eastAsia="MS Mincho" w:hAnsi="Times New Roman" w:cs="Times New Roman"/>
          <w:sz w:val="24"/>
        </w:rPr>
        <w:br/>
        <w:t>5)   „Quadrat oder Baret“ (Birett), außerdem der Totenkopf selbst</w:t>
      </w:r>
      <w:r>
        <w:rPr>
          <w:rFonts w:ascii="Times New Roman" w:eastAsia="MS Mincho" w:hAnsi="Times New Roman" w:cs="Times New Roman"/>
          <w:sz w:val="24"/>
        </w:rPr>
        <w:br/>
        <w:t>6)   „Brevir“: „Placebo Domino“</w:t>
      </w:r>
      <w:r>
        <w:rPr>
          <w:rFonts w:ascii="Times New Roman" w:eastAsia="MS Mincho" w:hAnsi="Times New Roman" w:cs="Times New Roman"/>
          <w:sz w:val="24"/>
        </w:rPr>
        <w:br/>
        <w:t>7)   „Dz Meßbuch zu dem Requiem“: „Requiem aeternam ...“</w:t>
      </w:r>
      <w:r>
        <w:rPr>
          <w:rFonts w:ascii="Times New Roman" w:eastAsia="MS Mincho" w:hAnsi="Times New Roman" w:cs="Times New Roman"/>
          <w:sz w:val="24"/>
        </w:rPr>
        <w:br/>
        <w:t>8)   „Das Zymbel zur Wandlung mit +weißen Todtenpfeil“, außerdem Heerpauken,</w:t>
      </w:r>
      <w:r>
        <w:rPr>
          <w:rFonts w:ascii="Times New Roman" w:eastAsia="MS Mincho" w:hAnsi="Times New Roman" w:cs="Times New Roman"/>
          <w:sz w:val="24"/>
        </w:rPr>
        <w:tab/>
      </w:r>
      <w:r>
        <w:rPr>
          <w:rFonts w:ascii="Times New Roman" w:eastAsia="MS Mincho" w:hAnsi="Times New Roman" w:cs="Times New Roman"/>
          <w:sz w:val="24"/>
        </w:rPr>
        <w:tab/>
      </w:r>
      <w:r>
        <w:rPr>
          <w:rFonts w:ascii="Times New Roman" w:eastAsia="MS Mincho" w:hAnsi="Times New Roman" w:cs="Times New Roman"/>
          <w:sz w:val="24"/>
        </w:rPr>
        <w:tab/>
      </w:r>
      <w:r>
        <w:rPr>
          <w:rFonts w:ascii="Times New Roman" w:eastAsia="MS Mincho" w:hAnsi="Times New Roman" w:cs="Times New Roman"/>
          <w:sz w:val="24"/>
        </w:rPr>
        <w:tab/>
        <w:t>Trompeten</w:t>
      </w:r>
      <w:r>
        <w:rPr>
          <w:rStyle w:val="Funotenzeichen"/>
          <w:rFonts w:ascii="Times New Roman" w:eastAsia="MS Mincho" w:hAnsi="Times New Roman" w:cs="Times New Roman"/>
          <w:sz w:val="24"/>
        </w:rPr>
        <w:footnoteReference w:id="107"/>
      </w:r>
      <w:r>
        <w:rPr>
          <w:rFonts w:ascii="Times New Roman" w:eastAsia="MS Mincho" w:hAnsi="Times New Roman" w:cs="Times New Roman"/>
          <w:sz w:val="24"/>
        </w:rPr>
        <w:t>, Cornett, Fagotte</w:t>
      </w:r>
      <w:r>
        <w:rPr>
          <w:rFonts w:ascii="Times New Roman" w:eastAsia="MS Mincho" w:hAnsi="Times New Roman" w:cs="Times New Roman"/>
          <w:sz w:val="24"/>
        </w:rPr>
        <w:br/>
        <w:t>9)   „Das Geleut mit 5. Gloggen“, außerdem Dirigierstab und -tuch sowie Tromba marina</w:t>
      </w:r>
      <w:r>
        <w:rPr>
          <w:rFonts w:ascii="Times New Roman" w:eastAsia="MS Mincho" w:hAnsi="Times New Roman" w:cs="Times New Roman"/>
          <w:sz w:val="24"/>
        </w:rPr>
        <w:br/>
        <w:t>10)  „Das Cardinal Hüetl“ außerdem „Reißuhr“, Blume</w:t>
      </w:r>
      <w:r>
        <w:rPr>
          <w:rFonts w:ascii="Times New Roman" w:eastAsia="MS Mincho" w:hAnsi="Times New Roman" w:cs="Times New Roman"/>
          <w:sz w:val="24"/>
        </w:rPr>
        <w:br/>
        <w:t>11)  „Reichs-Adelige Helmdeck“, außerdem Harfen, Triangel, Cister („Zittern“), Geige</w:t>
      </w:r>
      <w:r>
        <w:rPr>
          <w:rStyle w:val="Funotenzeichen"/>
          <w:rFonts w:ascii="Times New Roman" w:eastAsia="MS Mincho" w:hAnsi="Times New Roman" w:cs="Times New Roman"/>
          <w:sz w:val="24"/>
        </w:rPr>
        <w:footnoteReference w:id="108"/>
      </w:r>
    </w:p>
    <w:p w:rsidR="00033488" w:rsidRDefault="00033488" w:rsidP="00033488">
      <w:pPr>
        <w:pStyle w:val="NurText"/>
        <w:spacing w:line="360" w:lineRule="auto"/>
        <w:ind w:left="284"/>
        <w:rPr>
          <w:rFonts w:ascii="Times New Roman" w:eastAsia="MS Mincho" w:hAnsi="Times New Roman" w:cs="Times New Roman"/>
          <w:sz w:val="24"/>
        </w:rPr>
      </w:pPr>
      <w:r>
        <w:rPr>
          <w:rFonts w:ascii="Times New Roman" w:eastAsia="MS Mincho" w:hAnsi="Times New Roman" w:cs="Times New Roman"/>
          <w:sz w:val="24"/>
        </w:rPr>
        <w:t>12)  „Der Wappen-Schildt“</w:t>
      </w:r>
      <w:r>
        <w:rPr>
          <w:rFonts w:ascii="Times New Roman" w:eastAsia="MS Mincho" w:hAnsi="Times New Roman" w:cs="Times New Roman"/>
          <w:sz w:val="24"/>
        </w:rPr>
        <w:br/>
        <w:t>13)  „All Instrument“</w:t>
      </w: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Gelegentlich finden sich in den Gedichten außerdem Anspielungen auf die den Abbildungen beigegebenen Worte der Hl. Schrift und der Liturgie.</w:t>
      </w:r>
      <w:r>
        <w:rPr>
          <w:rStyle w:val="Funotenzeichen"/>
          <w:rFonts w:ascii="Times New Roman" w:eastAsia="MS Mincho" w:hAnsi="Times New Roman" w:cs="Times New Roman"/>
          <w:sz w:val="24"/>
        </w:rPr>
        <w:footnoteReference w:id="109"/>
      </w:r>
      <w:r>
        <w:rPr>
          <w:rFonts w:ascii="Times New Roman" w:eastAsia="MS Mincho" w:hAnsi="Times New Roman" w:cs="Times New Roman"/>
          <w:sz w:val="24"/>
        </w:rPr>
        <w:t xml:space="preserve"> Nicht im Gedicht thematisiert sind die meisten Instrumente, die aber durch die beigegebenen Texte in die Thematik der Vanitas bzw. der Ewigkeit einbezogen werden. Die Beziehung zwischen dem dargestellten Instrument und den kanonischen Texten ist dabei natürlich nur zum Teil offenkundig, nämlich wenn dasselbe oder ein ähnliches Instrument ausdrücklich im Text genannt wird, z.B. im Fall der Posaune (Nr. 3). Mitunter besteht keine sachliche, sondern nur eine sprachliche Analogie, z.B. bei der ethymologischen Ableitung des Wortes „Fletten“ von „Fletus“ (Nr. 1). Oder der Bezug kommt nur durch die sehr freie und fantasiereiche Übersetzung zustande, z.B. „Exaltatum est cornu meum.“ durch „Mein krump Horn ist erhöcht.“ (Nr. 10). In den meisten Fällen ist das tertium comparationis noch verborgener, etwa wenn der besonders leise Clavichordton auf das Nicht-mehr-Hören der Stimme </w:t>
      </w:r>
      <w:r>
        <w:rPr>
          <w:rFonts w:ascii="Times New Roman" w:eastAsia="MS Mincho" w:hAnsi="Times New Roman" w:cs="Times New Roman"/>
          <w:sz w:val="24"/>
        </w:rPr>
        <w:lastRenderedPageBreak/>
        <w:t>hindeutet (Nr. 2), die hohen Töne der Violine auf den Namen des Allerhöchsten (Nr. 4), die tiefen des Fagotts auf die unergründliche Tiefe der göttlichen Wunder (Nr. 8).</w:t>
      </w:r>
      <w:r>
        <w:rPr>
          <w:rStyle w:val="Funotenzeichen"/>
          <w:rFonts w:ascii="Times New Roman" w:eastAsia="MS Mincho" w:hAnsi="Times New Roman" w:cs="Times New Roman"/>
          <w:sz w:val="24"/>
        </w:rPr>
        <w:footnoteReference w:id="110"/>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Alle Bildmotive werden im Rahmen der S. 12 angegebenen Doppelthematik von Vanitas und Aeternitas verarbeitet. Dabei werden sie entweder einem der antithetischen Bereiche zugeordnet oder schlagen von einem Bereich in den anderen um, und zwar immer von der Nichtigkeit des Vergänglichen zur ewigen Seligkeit. Typisch für diese in ihrer Ambivalenz und Dramatik eigentümlich barocke Struktur ist gleich das erste Gedicht, in dem das „brinnende Liecht“ zunächst als abschmelzende Kerze</w:t>
      </w:r>
      <w:r>
        <w:rPr>
          <w:rStyle w:val="Funotenzeichen"/>
          <w:rFonts w:ascii="Times New Roman" w:eastAsia="MS Mincho" w:hAnsi="Times New Roman" w:cs="Times New Roman"/>
          <w:sz w:val="24"/>
        </w:rPr>
        <w:footnoteReference w:id="111"/>
      </w:r>
      <w:r>
        <w:rPr>
          <w:rFonts w:ascii="Times New Roman" w:eastAsia="MS Mincho" w:hAnsi="Times New Roman" w:cs="Times New Roman"/>
          <w:sz w:val="24"/>
        </w:rPr>
        <w:t xml:space="preserve">, dann als erlösende Liebesglut interpretiert wird. Von hier aus betrachtet erscheint wiederum die Kerze als Oster-, als Auferstehungskerze. Ebenso ist in Nr. 3 der prächtige Chorpelz einerseits aus seinem „Dienst“ verabschiedet, andererseits ist er „Der Gnaden wol ein Zeichen“, ähnlich auch der Chorrock (Nr. 4).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Was die Musikinstrumente betrifft, so verfallen sie normalerweise eindeutig der Vergänglichkeit</w:t>
      </w:r>
      <w:r>
        <w:rPr>
          <w:rStyle w:val="Funotenzeichen"/>
          <w:rFonts w:ascii="Times New Roman" w:eastAsia="MS Mincho" w:hAnsi="Times New Roman" w:cs="Times New Roman"/>
          <w:sz w:val="24"/>
        </w:rPr>
        <w:footnoteReference w:id="112"/>
      </w:r>
      <w:r>
        <w:rPr>
          <w:rFonts w:ascii="Times New Roman" w:eastAsia="MS Mincho" w:hAnsi="Times New Roman" w:cs="Times New Roman"/>
          <w:sz w:val="24"/>
        </w:rPr>
        <w:t>, wie schon in der berühmten Motette Orlando di Lassos: „In hora ultima peribunt omnia: tuba, tibia et cythara, jocus, risus, saltus, cantus et discantus.“</w:t>
      </w:r>
      <w:r>
        <w:rPr>
          <w:rStyle w:val="Funotenzeichen"/>
          <w:rFonts w:ascii="Times New Roman" w:eastAsia="MS Mincho" w:hAnsi="Times New Roman" w:cs="Times New Roman"/>
          <w:sz w:val="24"/>
        </w:rPr>
        <w:footnoteReference w:id="113"/>
      </w:r>
      <w:r>
        <w:rPr>
          <w:rFonts w:ascii="Times New Roman" w:eastAsia="MS Mincho" w:hAnsi="Times New Roman" w:cs="Times New Roman"/>
          <w:sz w:val="24"/>
        </w:rPr>
        <w:t xml:space="preserve"> Diese Einstellung scheint auch Megerle in seinen Gedichten zu teilen. Im Beschluß heißt es etwa:</w:t>
      </w:r>
    </w:p>
    <w:p w:rsidR="00033488" w:rsidRDefault="00033488" w:rsidP="00033488">
      <w:pPr>
        <w:pStyle w:val="NurText"/>
        <w:ind w:left="284"/>
        <w:rPr>
          <w:rFonts w:ascii="Times New Roman" w:eastAsia="MS Mincho" w:hAnsi="Times New Roman" w:cs="Times New Roman"/>
          <w:sz w:val="24"/>
        </w:rPr>
      </w:pPr>
      <w:r>
        <w:rPr>
          <w:rFonts w:ascii="Times New Roman" w:eastAsia="MS Mincho" w:hAnsi="Times New Roman" w:cs="Times New Roman"/>
          <w:sz w:val="24"/>
        </w:rPr>
        <w:t>„Jetzt sag ich allen den Dienst auff /</w:t>
      </w:r>
      <w:r>
        <w:rPr>
          <w:rFonts w:ascii="Times New Roman" w:eastAsia="MS Mincho" w:hAnsi="Times New Roman" w:cs="Times New Roman"/>
          <w:sz w:val="24"/>
        </w:rPr>
        <w:br/>
        <w:t>Sucht nun ein andern Herren</w:t>
      </w:r>
      <w:proofErr w:type="gramStart"/>
      <w:r>
        <w:rPr>
          <w:rFonts w:ascii="Times New Roman" w:eastAsia="MS Mincho" w:hAnsi="Times New Roman" w:cs="Times New Roman"/>
          <w:sz w:val="24"/>
        </w:rPr>
        <w:t>;</w:t>
      </w:r>
      <w:proofErr w:type="gramEnd"/>
      <w:r>
        <w:rPr>
          <w:rFonts w:ascii="Times New Roman" w:eastAsia="MS Mincho" w:hAnsi="Times New Roman" w:cs="Times New Roman"/>
          <w:sz w:val="24"/>
        </w:rPr>
        <w:br/>
        <w:t>Wo jedes will / hinweck jetzt laufft /</w:t>
      </w:r>
      <w:r>
        <w:rPr>
          <w:rFonts w:ascii="Times New Roman" w:eastAsia="MS Mincho" w:hAnsi="Times New Roman" w:cs="Times New Roman"/>
          <w:sz w:val="24"/>
        </w:rPr>
        <w:br/>
        <w:t>Wo gern man mich wird hören.“</w:t>
      </w:r>
      <w:r>
        <w:rPr>
          <w:rStyle w:val="Funotenzeichen"/>
          <w:rFonts w:ascii="Times New Roman" w:eastAsia="MS Mincho" w:hAnsi="Times New Roman" w:cs="Times New Roman"/>
          <w:sz w:val="24"/>
        </w:rPr>
        <w:footnoteReference w:id="114"/>
      </w:r>
    </w:p>
    <w:p w:rsidR="00033488" w:rsidRDefault="00033488" w:rsidP="00033488">
      <w:pPr>
        <w:pStyle w:val="NurText"/>
        <w:ind w:firstLine="284"/>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 xml:space="preserve">Die letzte Zeile scheint allerdings, im Widerspruch zur Vanitasidee, auf Megerles irdischen Nachruhm anzuspielen, wofür er auch in seinem weltlichen </w:t>
      </w:r>
      <w:r>
        <w:rPr>
          <w:rFonts w:ascii="Times New Roman" w:eastAsia="MS Mincho" w:hAnsi="Times New Roman" w:cs="Times New Roman"/>
          <w:i/>
          <w:iCs/>
          <w:sz w:val="24"/>
        </w:rPr>
        <w:t>Beylag zu meinem Testament</w:t>
      </w:r>
      <w:r>
        <w:rPr>
          <w:rFonts w:ascii="Times New Roman" w:eastAsia="MS Mincho" w:hAnsi="Times New Roman" w:cs="Times New Roman"/>
          <w:sz w:val="24"/>
        </w:rPr>
        <w:t xml:space="preserve"> Sorge trug.</w:t>
      </w:r>
      <w:r>
        <w:rPr>
          <w:rStyle w:val="Funotenzeichen"/>
          <w:rFonts w:ascii="Times New Roman" w:eastAsia="MS Mincho" w:hAnsi="Times New Roman" w:cs="Times New Roman"/>
          <w:sz w:val="24"/>
        </w:rPr>
        <w:footnoteReference w:id="115"/>
      </w:r>
      <w:r>
        <w:rPr>
          <w:rFonts w:ascii="Times New Roman" w:eastAsia="MS Mincho" w:hAnsi="Times New Roman" w:cs="Times New Roman"/>
          <w:sz w:val="24"/>
        </w:rPr>
        <w:t xml:space="preserve"> Der Widerspruch ist typisch für das Lebensgefühl des 17. Jahrhunderts; er zeigt sich unter anderem in Stilleben mit lorbeerbekränzten Totenköpfen - wie im </w:t>
      </w:r>
      <w:r>
        <w:rPr>
          <w:rFonts w:ascii="Times New Roman" w:eastAsia="MS Mincho" w:hAnsi="Times New Roman" w:cs="Times New Roman"/>
          <w:i/>
          <w:iCs/>
          <w:sz w:val="24"/>
        </w:rPr>
        <w:t>Speculum</w:t>
      </w:r>
      <w:r>
        <w:rPr>
          <w:rFonts w:ascii="Times New Roman" w:eastAsia="MS Mincho" w:hAnsi="Times New Roman" w:cs="Times New Roman"/>
          <w:sz w:val="24"/>
        </w:rPr>
        <w:t xml:space="preserve"> S. 20, 28f. - und Inschriften wie dem Horazischen „Non omnis moriar“ oder „Finis coronat opus“, sogar gleichzeitig mit „Memento mori“.</w:t>
      </w:r>
      <w:r>
        <w:rPr>
          <w:rStyle w:val="Funotenzeichen"/>
          <w:rFonts w:ascii="Times New Roman" w:eastAsia="MS Mincho" w:hAnsi="Times New Roman" w:cs="Times New Roman"/>
          <w:sz w:val="24"/>
        </w:rPr>
        <w:footnoteReference w:id="116"/>
      </w:r>
      <w:r>
        <w:rPr>
          <w:rFonts w:ascii="Times New Roman" w:eastAsia="MS Mincho" w:hAnsi="Times New Roman" w:cs="Times New Roman"/>
          <w:sz w:val="24"/>
        </w:rPr>
        <w:t xml:space="preserve"> Darüber hinaus hat Megerle im </w:t>
      </w:r>
      <w:r>
        <w:rPr>
          <w:rFonts w:ascii="Times New Roman" w:eastAsia="MS Mincho" w:hAnsi="Times New Roman" w:cs="Times New Roman"/>
          <w:i/>
          <w:iCs/>
          <w:sz w:val="24"/>
        </w:rPr>
        <w:t>Speculum</w:t>
      </w:r>
      <w:r>
        <w:rPr>
          <w:rFonts w:ascii="Times New Roman" w:eastAsia="MS Mincho" w:hAnsi="Times New Roman" w:cs="Times New Roman"/>
          <w:sz w:val="24"/>
        </w:rPr>
        <w:t xml:space="preserve"> einige Instrumente mit Zitaten versehen, die sogar in die Richtung der himmlischen Ewigkeit weisen: Trögl, Violine (Nr. 4), Laute, Theorbe (Nr. 7), Zink, eventuell Fagott (Nr. 8) sowie Psalter (Nr. 12). In der Apostrophe erhofft sich Megerle eine Tätigkeit im Himmel als „Choragus“ - ohne Instrumente? Er lässt die Frage letztenendes offen, ob im Himmel nur Menschen- und Engelszungen singen, wie in der christlich theologischen, ursprünglich gegen das (heidnische) Instrumentarium eingestellten </w:t>
      </w:r>
      <w:r>
        <w:rPr>
          <w:rFonts w:ascii="Times New Roman" w:eastAsia="MS Mincho" w:hAnsi="Times New Roman" w:cs="Times New Roman"/>
          <w:sz w:val="24"/>
        </w:rPr>
        <w:lastRenderedPageBreak/>
        <w:t>Tradition angenommen, oder, wie in zahlreichen Bildern seit dem hohen Mittelalter</w:t>
      </w:r>
      <w:r>
        <w:rPr>
          <w:rStyle w:val="Funotenzeichen"/>
          <w:rFonts w:ascii="Times New Roman" w:eastAsia="MS Mincho" w:hAnsi="Times New Roman" w:cs="Times New Roman"/>
          <w:sz w:val="24"/>
        </w:rPr>
        <w:footnoteReference w:id="117"/>
      </w:r>
      <w:r>
        <w:rPr>
          <w:rFonts w:ascii="Times New Roman" w:eastAsia="MS Mincho" w:hAnsi="Times New Roman" w:cs="Times New Roman"/>
          <w:sz w:val="24"/>
        </w:rPr>
        <w:t>, auch Instrumente, die womöglich mit ihm „auferstehen“.</w:t>
      </w:r>
      <w:r>
        <w:rPr>
          <w:rStyle w:val="Funotenzeichen"/>
          <w:rFonts w:ascii="Times New Roman" w:eastAsia="MS Mincho" w:hAnsi="Times New Roman" w:cs="Times New Roman"/>
          <w:sz w:val="24"/>
        </w:rPr>
        <w:footnoteReference w:id="118"/>
      </w:r>
      <w:r>
        <w:rPr>
          <w:rFonts w:ascii="Times New Roman" w:eastAsia="MS Mincho" w:hAnsi="Times New Roman" w:cs="Times New Roman"/>
          <w:sz w:val="24"/>
        </w:rPr>
        <w:t xml:space="preserve"> Jedenfalls sind diese, seiner „erleuterung von denen Todtenköpfen“ nach, „ein gwisses Kenzeichen zur ewigen Glory ... / allwo die Music vor allen Künsten den vorzug hat / vnd nimmer auffhört ewiglich.“</w:t>
      </w:r>
      <w:r>
        <w:rPr>
          <w:rStyle w:val="Funotenzeichen"/>
          <w:rFonts w:ascii="Times New Roman" w:eastAsia="MS Mincho" w:hAnsi="Times New Roman" w:cs="Times New Roman"/>
          <w:sz w:val="24"/>
        </w:rPr>
        <w:footnoteReference w:id="119"/>
      </w: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V. Zu instrumentenkundlichen Aspekten</w:t>
      </w: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Dass in Megerles Totenspiegel die Darstellung der Instrumente keine primär historisch-dokumentarische Rolle spielt, sondern als Teil eines symbolisch-emblematischen Bedeutungszusammenhanges fungiert, dürfte schon im Titel der Schrift, spätestens aber in Aussagen wie der zuletzt zitierten deutlich werden. Gleichwohl behauptet Megerle an dieser Stelle zuvor, dass er die dargestellten „vil unterschidliche Instrumenten in Lebszeiten zur Music gebraucht“ habe, deutet also neben der geistlich-idealistischen Bedeutungsfunktion auch eine biographisch-realistische an. Drei Seiten später beschreibt er in ähnlichem Sinne das Ölgemälde mit „vnser L. Frau in der Glory ... darunder alle Musicalische Instrumenten, die ich als neunzehen Jähriger Capellmaister gebraucht“</w:t>
      </w:r>
      <w:r>
        <w:rPr>
          <w:rStyle w:val="Funotenzeichen"/>
          <w:rFonts w:ascii="Times New Roman" w:eastAsia="MS Mincho" w:hAnsi="Times New Roman" w:cs="Times New Roman"/>
          <w:sz w:val="24"/>
        </w:rPr>
        <w:footnoteReference w:id="120"/>
      </w:r>
      <w:r>
        <w:rPr>
          <w:rFonts w:ascii="Times New Roman" w:eastAsia="MS Mincho" w:hAnsi="Times New Roman" w:cs="Times New Roman"/>
          <w:sz w:val="24"/>
        </w:rPr>
        <w:t>. Diese Beschreibung gehört zur Erläuterung des letzten Totenkopfbildes, das die meisten früher dargestellten Instrumente vereinigt; im zugehörigen Gedicht kündigt Megerle ihnen als ihr „Herr“ „den Dienst Auff“. Ein besonderer biographischer Bezug findet sich außerdem im neunten Totenkopfbild und -gedicht, in denen es um Dirigierstab und -tuch geht, wie er sie als Salzburger Kapellmeister gebraucht hat. Entsprechend kommentiert er, dass „der rechte Capellmeister“ „den Tact mit einem gantz silbern Stab gibt / wie zu Saltzburg gebräuchig“, und „nit nur allein mit dem Faciletl“.</w:t>
      </w:r>
      <w:r>
        <w:rPr>
          <w:rStyle w:val="Funotenzeichen"/>
          <w:rFonts w:ascii="Times New Roman" w:eastAsia="MS Mincho" w:hAnsi="Times New Roman" w:cs="Times New Roman"/>
          <w:sz w:val="24"/>
        </w:rPr>
        <w:footnoteReference w:id="121"/>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lastRenderedPageBreak/>
        <w:t>Wenn man das Instrumentarium des 13. Bildes mit dem in den zwölf vorangehenden Bildern vergleicht, so zeigt sich, dass deren größter Teil hier wiederkehrt und in ganz ähnlicher, wenngleich nicht identischer Form dargestellt wird. Weggelassen sind überwiegend Instrumente, die schon durch verwandte vertreten sind: „Bassgeigen“ und (der größte Teil der) „Viola da Gamba“ durch Violine, „Krumphörnle“ durch Krummhorn, „Posaune“ durch Quartposaune, „Zittern“ durch Laute, „Thürnerhorn“ durch Heerhorn oder Zink, (Dreh-)“Leyer“ durch Sackpfeife (als einem zwar nicht baulich, aber funktional verwandten Borduninstrument). Außerdem fehlen „Fagott“ und „Heerpaucken“. Dass Megerle sie nicht wichtig fand, dürfte kaum zu begründen sein, zumal sie in dem erwähnten Ölgemälde mit dem Instrumentarium des neunzehnjährigen Kapellmeisters erkennbar sind, neben Trompete, Posaune, Krummhorn, Flöten, krummem Zink, Lauten, Harfe, Trumscheit und Dudelsack.</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Es ist fraglich, ob die in jedem Fall besonders breite und bunte Palette an Instrumenten, die von Fleischer sozusagen unbesehen als Dokument der zeitgenössischen Musikpraxis verstanden wurde</w:t>
      </w:r>
      <w:r>
        <w:rPr>
          <w:rStyle w:val="Funotenzeichen"/>
          <w:rFonts w:ascii="Times New Roman" w:eastAsia="MS Mincho" w:hAnsi="Times New Roman" w:cs="Times New Roman"/>
          <w:sz w:val="24"/>
        </w:rPr>
        <w:footnoteReference w:id="122"/>
      </w:r>
      <w:r>
        <w:rPr>
          <w:rFonts w:ascii="Times New Roman" w:eastAsia="MS Mincho" w:hAnsi="Times New Roman" w:cs="Times New Roman"/>
          <w:sz w:val="24"/>
        </w:rPr>
        <w:t>, tatsächlich alle in Megerles musikalischer Praxis eine Rolle spielten. Unbestreitbar ist, dass die Entwicklung des abendländischen Musikinstrumentariums in Megerles Generation einen Gipfel an Vielfalt erreichte, wie schon die bekannten Instrumentenkunden von Praetorius, Mersenne und Kircher</w:t>
      </w:r>
      <w:r>
        <w:rPr>
          <w:rStyle w:val="Funotenzeichen"/>
          <w:rFonts w:ascii="Times New Roman" w:eastAsia="MS Mincho" w:hAnsi="Times New Roman" w:cs="Times New Roman"/>
          <w:sz w:val="24"/>
        </w:rPr>
        <w:footnoteReference w:id="123"/>
      </w:r>
      <w:r>
        <w:rPr>
          <w:rFonts w:ascii="Times New Roman" w:eastAsia="MS Mincho" w:hAnsi="Times New Roman" w:cs="Times New Roman"/>
          <w:sz w:val="24"/>
        </w:rPr>
        <w:t xml:space="preserve"> belegen. Dem </w:t>
      </w:r>
      <w:r>
        <w:rPr>
          <w:rFonts w:ascii="Times New Roman" w:eastAsia="MS Mincho" w:hAnsi="Times New Roman" w:cs="Times New Roman"/>
          <w:i/>
          <w:iCs/>
          <w:sz w:val="24"/>
        </w:rPr>
        <w:t>Speculum</w:t>
      </w:r>
      <w:r>
        <w:rPr>
          <w:rFonts w:ascii="Times New Roman" w:eastAsia="MS Mincho" w:hAnsi="Times New Roman" w:cs="Times New Roman"/>
          <w:sz w:val="24"/>
        </w:rPr>
        <w:t xml:space="preserve"> nach hat Megerle sich bereits als Innsbrucker Student besonders in der Instrumentalmusik hervorgetan. Bewunderung erregte er offenbar sowohl durch sein eigenes Spiel auf „Orgl vnd Regal“</w:t>
      </w:r>
      <w:r>
        <w:rPr>
          <w:rStyle w:val="Funotenzeichen"/>
          <w:rFonts w:ascii="Times New Roman" w:eastAsia="MS Mincho" w:hAnsi="Times New Roman" w:cs="Times New Roman"/>
          <w:sz w:val="24"/>
        </w:rPr>
        <w:footnoteReference w:id="124"/>
      </w:r>
      <w:r>
        <w:rPr>
          <w:rFonts w:ascii="Times New Roman" w:eastAsia="MS Mincho" w:hAnsi="Times New Roman" w:cs="Times New Roman"/>
          <w:sz w:val="24"/>
        </w:rPr>
        <w:t xml:space="preserve">, als auch durch seinen hervorragenden Musikunterricht. Dadurch sind insbesondere die Innsbrucker Servitinnen </w:t>
      </w:r>
    </w:p>
    <w:p w:rsidR="00033488" w:rsidRDefault="00033488" w:rsidP="00033488">
      <w:pPr>
        <w:pStyle w:val="NurText"/>
        <w:ind w:left="284"/>
        <w:jc w:val="both"/>
        <w:rPr>
          <w:rFonts w:ascii="Times New Roman" w:eastAsia="MS Mincho" w:hAnsi="Times New Roman" w:cs="Times New Roman"/>
          <w:sz w:val="24"/>
        </w:rPr>
      </w:pPr>
      <w:r>
        <w:rPr>
          <w:rFonts w:ascii="Times New Roman" w:eastAsia="MS Mincho" w:hAnsi="Times New Roman" w:cs="Times New Roman"/>
          <w:sz w:val="24"/>
        </w:rPr>
        <w:t>„zu solcher perfection in der Music gelangt / sonderlich in den Musicalischen Instrumenten, dass nit vnbillich jhr Music für ein Kayserl. Music zuhalten ware / darob sich nit allein die Ertzfürstl. Music vnd Virtuosi vnderschidlichen Nationen auff das höchst darüber verwundert / sonder auch Herr Capellmaister Herr Johann Stadlmayr selbst (aller Componisten ewige Zier vnnd Ehr) jhrer Music offt vnd vil zugehört / vnd gleichsamb ein newen frischen Geist vnnd antrib dardurch bekommen.“</w:t>
      </w:r>
      <w:r>
        <w:rPr>
          <w:rStyle w:val="Funotenzeichen"/>
          <w:rFonts w:ascii="Times New Roman" w:eastAsia="MS Mincho" w:hAnsi="Times New Roman" w:cs="Times New Roman"/>
          <w:sz w:val="24"/>
        </w:rPr>
        <w:footnoteReference w:id="125"/>
      </w:r>
    </w:p>
    <w:p w:rsidR="00033488" w:rsidRDefault="00033488" w:rsidP="00033488">
      <w:pPr>
        <w:pStyle w:val="NurText"/>
        <w:ind w:left="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Stadlmayr selbst stand in Innsbruck eine Kapelle zur Verfügung, die schon nach einem Inventar von 1596</w:t>
      </w:r>
      <w:r>
        <w:rPr>
          <w:rStyle w:val="Funotenzeichen"/>
          <w:rFonts w:ascii="Times New Roman" w:eastAsia="MS Mincho" w:hAnsi="Times New Roman" w:cs="Times New Roman"/>
          <w:sz w:val="24"/>
        </w:rPr>
        <w:footnoteReference w:id="126"/>
      </w:r>
      <w:r>
        <w:rPr>
          <w:rFonts w:ascii="Times New Roman" w:eastAsia="MS Mincho" w:hAnsi="Times New Roman" w:cs="Times New Roman"/>
          <w:sz w:val="24"/>
        </w:rPr>
        <w:t xml:space="preserve"> ungewöhnlich reich mit Instrumenten ausgestattet war. Von den in Megerles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genannten Instrumenten sind hier bereits aufgeführt: Gamben und Geigeninstrumente verschiedener Stimmlage, Clavichordia, Lauten, Flauti, Krumphörner verschiedener Stimmlage, Sackhpfeifen, Zwerchpfeifen, Zitern, Schallmeiern, Pusaunen verschiedener Stimmlage, auch eine quartpusaun, </w:t>
      </w:r>
      <w:r>
        <w:rPr>
          <w:rFonts w:ascii="Times New Roman" w:eastAsia="MS Mincho" w:hAnsi="Times New Roman" w:cs="Times New Roman"/>
          <w:sz w:val="24"/>
        </w:rPr>
        <w:lastRenderedPageBreak/>
        <w:t>Hörpaugen, lira (= Drehleier), 29 Trometten. Im Innsbrucker Inventar von 1665</w:t>
      </w:r>
      <w:r>
        <w:rPr>
          <w:rStyle w:val="Funotenzeichen"/>
          <w:rFonts w:ascii="Times New Roman" w:eastAsia="MS Mincho" w:hAnsi="Times New Roman" w:cs="Times New Roman"/>
          <w:sz w:val="24"/>
        </w:rPr>
        <w:footnoteReference w:id="127"/>
      </w:r>
      <w:r>
        <w:rPr>
          <w:rFonts w:ascii="Times New Roman" w:eastAsia="MS Mincho" w:hAnsi="Times New Roman" w:cs="Times New Roman"/>
          <w:sz w:val="24"/>
        </w:rPr>
        <w:t xml:space="preserve"> mit einem Instrumentarium, das um 1630 schon weitgehend vorhanden gewesen sein dürfte, erscheinen von Megerles Instrumenten außerdem etliche Orgeln, Regale, Spinette (Instrumente), Harpffen,, Theorben, Chytarra, Cornet, ein ganzes Stimmwerckh von ... Fagötten, Schnabelpfeffen verschiedener Stimmlage und ein Puschen (= Pochette, Trögl). Als Schüler Stadlmayrs könnte Megerle alle diese Instrumente „gebraucht“</w:t>
      </w:r>
      <w:r>
        <w:rPr>
          <w:rStyle w:val="Funotenzeichen"/>
          <w:rFonts w:ascii="Times New Roman" w:eastAsia="MS Mincho" w:hAnsi="Times New Roman" w:cs="Times New Roman"/>
          <w:sz w:val="24"/>
        </w:rPr>
        <w:footnoteReference w:id="128"/>
      </w:r>
      <w:r>
        <w:rPr>
          <w:rFonts w:ascii="Times New Roman" w:eastAsia="MS Mincho" w:hAnsi="Times New Roman" w:cs="Times New Roman"/>
          <w:sz w:val="24"/>
        </w:rPr>
        <w:t xml:space="preserve"> haben.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In seinen späteren Kapellmeisterämtern in Konstanz und Salzburg hat sich Megerle jeweils mit besonderem Nachdruck um den Ausbau des Instrumentalapparats bemüht.</w:t>
      </w:r>
      <w:r>
        <w:rPr>
          <w:rStyle w:val="Funotenzeichen"/>
          <w:rFonts w:ascii="Times New Roman" w:eastAsia="MS Mincho" w:hAnsi="Times New Roman" w:cs="Times New Roman"/>
          <w:sz w:val="24"/>
        </w:rPr>
        <w:footnoteReference w:id="129"/>
      </w:r>
      <w:r>
        <w:rPr>
          <w:rFonts w:ascii="Times New Roman" w:eastAsia="MS Mincho" w:hAnsi="Times New Roman" w:cs="Times New Roman"/>
          <w:sz w:val="24"/>
        </w:rPr>
        <w:t xml:space="preserve"> Den besten Beweis für seine Bemühungen um ein ausgeweitetes und emphatisch eingesetztes bzw. dirigiertes Instrumentarium bietet aber Megerles 1647 in Salzburg erschienener großer Proprienzyklus </w:t>
      </w:r>
      <w:r>
        <w:rPr>
          <w:rFonts w:ascii="Times New Roman" w:eastAsia="MS Mincho" w:hAnsi="Times New Roman" w:cs="Times New Roman"/>
          <w:i/>
          <w:iCs/>
          <w:sz w:val="24"/>
        </w:rPr>
        <w:t>Ara musica solemni concentu</w:t>
      </w:r>
      <w:r>
        <w:rPr>
          <w:rFonts w:ascii="Times New Roman" w:eastAsia="MS Mincho" w:hAnsi="Times New Roman" w:cs="Times New Roman"/>
          <w:sz w:val="24"/>
        </w:rPr>
        <w:t xml:space="preserve">. Dieses gewaltige Werk, von dem nur der dritte Band gedruckt wurde und leider unvollständig erhalten ist, umfasste 107 Kompositionen mit Generalbass und meist mehreren konzertierenden Instrumenten, die in den groß besetzten Kolossaloffertorien oft in mehreren Instrumentalchören den Vokalchören gegenübertreten und damit die Tradition der venezianischen und römischen Mehrchörigkeit überbieten. Die Besetzung ist in jedem Fall höchst abwechslungsreich. Im </w:t>
      </w:r>
      <w:proofErr w:type="gramStart"/>
      <w:r>
        <w:rPr>
          <w:rFonts w:ascii="Times New Roman" w:eastAsia="MS Mincho" w:hAnsi="Times New Roman" w:cs="Times New Roman"/>
          <w:sz w:val="24"/>
        </w:rPr>
        <w:t>einzelnen</w:t>
      </w:r>
      <w:proofErr w:type="gramEnd"/>
      <w:r>
        <w:rPr>
          <w:rFonts w:ascii="Times New Roman" w:eastAsia="MS Mincho" w:hAnsi="Times New Roman" w:cs="Times New Roman"/>
          <w:sz w:val="24"/>
        </w:rPr>
        <w:t xml:space="preserve"> begegnen folgende Instrumente: bis zu 10 Violinen, 5 Violen (Gamben und Bratschen), 1 Violone, 2 Clarintrompeten, 5 andere Trompeten, 2 Zinken, 4 Posaunen (auch mit Dämpfer und in allen Lagen, also auch Quartposaunen), 5 Fagotte, 1 Fagottino, Orgel, Laute, Theorbe, Harfe und Cembalo. Diese Instrumente, von denen das Fagottino im </w:t>
      </w:r>
      <w:r>
        <w:rPr>
          <w:rFonts w:ascii="Times New Roman" w:eastAsia="MS Mincho" w:hAnsi="Times New Roman" w:cs="Times New Roman"/>
          <w:i/>
          <w:iCs/>
          <w:sz w:val="24"/>
        </w:rPr>
        <w:t>Speculum</w:t>
      </w:r>
      <w:r>
        <w:rPr>
          <w:rFonts w:ascii="Times New Roman" w:eastAsia="MS Mincho" w:hAnsi="Times New Roman" w:cs="Times New Roman"/>
          <w:sz w:val="24"/>
        </w:rPr>
        <w:t xml:space="preserve"> nicht ausdrücklich genannt wird, sind, bis auf die letzten vier, typische Instrumente der geistlichen Musik. In Megerles zweitem Druckwerk, der </w:t>
      </w:r>
      <w:r>
        <w:rPr>
          <w:rFonts w:ascii="Times New Roman" w:eastAsia="MS Mincho" w:hAnsi="Times New Roman" w:cs="Times New Roman"/>
          <w:i/>
          <w:iCs/>
          <w:sz w:val="24"/>
        </w:rPr>
        <w:t>Psalmodia Jesu et Mariae sacra</w:t>
      </w:r>
      <w:r>
        <w:rPr>
          <w:rFonts w:ascii="Times New Roman" w:eastAsia="MS Mincho" w:hAnsi="Times New Roman" w:cs="Times New Roman"/>
          <w:sz w:val="24"/>
        </w:rPr>
        <w:t>, 1657 in München erschienen, spielen die Tompeten, auch Clarintrompeten mit Dämpfer eine zentrale Rolle, als Ersatz auch die Tromba marina.</w:t>
      </w:r>
      <w:r>
        <w:rPr>
          <w:rStyle w:val="Funotenzeichen"/>
          <w:rFonts w:ascii="Times New Roman" w:eastAsia="MS Mincho" w:hAnsi="Times New Roman" w:cs="Times New Roman"/>
          <w:sz w:val="24"/>
        </w:rPr>
        <w:footnoteReference w:id="130"/>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Nur wenige Instrumente des </w:t>
      </w:r>
      <w:r>
        <w:rPr>
          <w:rFonts w:ascii="Times New Roman" w:eastAsia="MS Mincho" w:hAnsi="Times New Roman" w:cs="Times New Roman"/>
          <w:i/>
          <w:iCs/>
          <w:sz w:val="24"/>
        </w:rPr>
        <w:t xml:space="preserve">Speculum </w:t>
      </w:r>
      <w:r>
        <w:rPr>
          <w:rFonts w:ascii="Times New Roman" w:eastAsia="MS Mincho" w:hAnsi="Times New Roman" w:cs="Times New Roman"/>
          <w:sz w:val="24"/>
        </w:rPr>
        <w:t xml:space="preserve">sind weder in der Innsbrucker Kapelle, noch in Megerles eigenen Werken nachzuweisen: Heerhorn, Thürnerhorn, Triangel und Psalter. Aufschlussreich ist hier die Tatsache, dass ein Teil der Instrumentenabbildungen sehr große Ähnlichkeiten mit solchen in Sebastian Virdungs </w:t>
      </w:r>
      <w:r>
        <w:rPr>
          <w:rFonts w:ascii="Times New Roman" w:eastAsia="MS Mincho" w:hAnsi="Times New Roman" w:cs="Times New Roman"/>
          <w:i/>
          <w:iCs/>
          <w:sz w:val="24"/>
        </w:rPr>
        <w:t>Musica getutscht</w:t>
      </w:r>
      <w:r>
        <w:rPr>
          <w:rFonts w:ascii="Times New Roman" w:eastAsia="MS Mincho" w:hAnsi="Times New Roman" w:cs="Times New Roman"/>
          <w:sz w:val="24"/>
        </w:rPr>
        <w:t xml:space="preserve"> (Heidelberg </w:t>
      </w:r>
      <w:proofErr w:type="gramStart"/>
      <w:r>
        <w:rPr>
          <w:rFonts w:ascii="Times New Roman" w:eastAsia="MS Mincho" w:hAnsi="Times New Roman" w:cs="Times New Roman"/>
          <w:sz w:val="24"/>
        </w:rPr>
        <w:t>1511 !</w:t>
      </w:r>
      <w:proofErr w:type="gramEnd"/>
      <w:r>
        <w:rPr>
          <w:rFonts w:ascii="Times New Roman" w:eastAsia="MS Mincho" w:hAnsi="Times New Roman" w:cs="Times New Roman"/>
          <w:sz w:val="24"/>
        </w:rPr>
        <w:t xml:space="preserve">) haben, vor allem Sackpfeife, Drehleier und Psalter des zwölften Totenkopfbildes. Sicher haben außerdem Virdungs Krummhörner, wahrscheinlich auch seine Flöten, Heerpauken und Zwerchpfeife Megerles Kupferstecher als Vorlage gedient. Dass dafür ein zur Entstehungszeit des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bereits 160 Jahre altes Instrumentenlehrbuch in Frage kam, wirft ein Licht auf den geringen dokumentarischen Wert der </w:t>
      </w:r>
      <w:r>
        <w:rPr>
          <w:rFonts w:ascii="Times New Roman" w:eastAsia="MS Mincho" w:hAnsi="Times New Roman" w:cs="Times New Roman"/>
          <w:sz w:val="24"/>
        </w:rPr>
        <w:lastRenderedPageBreak/>
        <w:t>Instrumentenabbildungen. Stattdessen soll einer repräsentativen Vollständigkeit mit „darbey entworffenen Geistlichen Bedeutungen“</w:t>
      </w:r>
      <w:r>
        <w:rPr>
          <w:rStyle w:val="Funotenzeichen"/>
          <w:rFonts w:ascii="Times New Roman" w:eastAsia="MS Mincho" w:hAnsi="Times New Roman" w:cs="Times New Roman"/>
          <w:sz w:val="24"/>
        </w:rPr>
        <w:footnoteReference w:id="131"/>
      </w:r>
      <w:r>
        <w:rPr>
          <w:rFonts w:ascii="Times New Roman" w:eastAsia="MS Mincho" w:hAnsi="Times New Roman" w:cs="Times New Roman"/>
          <w:sz w:val="24"/>
        </w:rPr>
        <w:t xml:space="preserve"> entsprochen werden. Besonders auffällig ist in dieser Hinsicht der zuletzt abgebildete Psalter bzw. das psalterium decachordon, ein Instrument, das zuerst in einem angeblichen Brief des hl. Hieronymus an Dardanus (9./10. Jahrhundert) erscheint und mit anderen Instrumenta Hieronymi noch von Virdung, Agricola, Praetorius, Mersenne und Kircher beschrieben wird, obwohl es bereits im Spätmittelalter außer Gebrauch war</w:t>
      </w:r>
      <w:r>
        <w:rPr>
          <w:rStyle w:val="Funotenzeichen"/>
          <w:rFonts w:ascii="Times New Roman" w:eastAsia="MS Mincho" w:hAnsi="Times New Roman" w:cs="Times New Roman"/>
          <w:sz w:val="24"/>
        </w:rPr>
        <w:footnoteReference w:id="132"/>
      </w:r>
      <w:r>
        <w:rPr>
          <w:rFonts w:ascii="Times New Roman" w:eastAsia="MS Mincho" w:hAnsi="Times New Roman" w:cs="Times New Roman"/>
          <w:sz w:val="24"/>
        </w:rPr>
        <w:t xml:space="preserve"> - sofern es überhaupt jemals eine praktische Bedeutung hatte.</w:t>
      </w:r>
      <w:r>
        <w:rPr>
          <w:rStyle w:val="Funotenzeichen"/>
          <w:rFonts w:ascii="Times New Roman" w:eastAsia="MS Mincho" w:hAnsi="Times New Roman" w:cs="Times New Roman"/>
          <w:sz w:val="24"/>
        </w:rPr>
        <w:footnoteReference w:id="133"/>
      </w:r>
      <w:r>
        <w:rPr>
          <w:rFonts w:ascii="Times New Roman" w:eastAsia="MS Mincho" w:hAnsi="Times New Roman" w:cs="Times New Roman"/>
          <w:sz w:val="24"/>
        </w:rPr>
        <w:t xml:space="preserve"> Viel mehr wurde es wegen seiner gleichseitigen Dreiecksform geschätzt, die als Trinitätssymbol verstanden werden konnte, sowie wegen der Zehnzahl seiner Saiten, die sowohl biblische (10 Gebote, Ps 91,4 und 143,9) als auch pythagoreische (Tetraktys: 1+2+3+4) Bezüge eröffnete.</w:t>
      </w:r>
      <w:r>
        <w:rPr>
          <w:rStyle w:val="Funotenzeichen"/>
          <w:rFonts w:ascii="Times New Roman" w:eastAsia="MS Mincho" w:hAnsi="Times New Roman" w:cs="Times New Roman"/>
          <w:sz w:val="24"/>
        </w:rPr>
        <w:footnoteReference w:id="134"/>
      </w:r>
      <w:r>
        <w:rPr>
          <w:rFonts w:ascii="Times New Roman" w:eastAsia="MS Mincho" w:hAnsi="Times New Roman" w:cs="Times New Roman"/>
          <w:sz w:val="24"/>
        </w:rPr>
        <w:t xml:space="preserve"> Bemerkenswerterweise entspricht in Megerles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der Psalter des zwöften Bildes dem formal ganz ähnlichen, in derselben Ecke angebrachten Triangel des voraufgehenden elften. Entgegen sonstigen Triangelabbildungen und entgegen der akustischen Brauchbarkeit ist dessen Dreicksform, wie die des Psalters, ununterbrochen. Die antithetische Beziehung (über das tertium comparationis des gleichseitigen Dreiecks) wird durch die Unterschriften hervorgehoben, die das Triangel als typisch irdisches</w:t>
      </w:r>
      <w:r>
        <w:rPr>
          <w:rStyle w:val="Funotenzeichen"/>
          <w:rFonts w:ascii="Times New Roman" w:eastAsia="MS Mincho" w:hAnsi="Times New Roman" w:cs="Times New Roman"/>
          <w:sz w:val="24"/>
        </w:rPr>
        <w:footnoteReference w:id="135"/>
      </w:r>
      <w:r>
        <w:rPr>
          <w:rFonts w:ascii="Times New Roman" w:eastAsia="MS Mincho" w:hAnsi="Times New Roman" w:cs="Times New Roman"/>
          <w:sz w:val="24"/>
        </w:rPr>
        <w:t>, bloß sinnlisches, auf den Psalter als himmlisches Instrument hin „umlegen“: „Die Frewd der Erden ist vmgelegt an ein anders Ort.“ - „Im Psalter von 10. Saiten / will ich dir Lob singen.“</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Die Beispiele von Psalter und Triangel zeigen, wie weit viele Instrumentenabbildungen des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von der instrumentenbaulichen Exaktheit entfernt sind und warum dies </w:t>
      </w:r>
      <w:proofErr w:type="gramStart"/>
      <w:r>
        <w:rPr>
          <w:rFonts w:ascii="Times New Roman" w:eastAsia="MS Mincho" w:hAnsi="Times New Roman" w:cs="Times New Roman"/>
          <w:sz w:val="24"/>
        </w:rPr>
        <w:t>dem</w:t>
      </w:r>
      <w:proofErr w:type="gramEnd"/>
      <w:r>
        <w:rPr>
          <w:rFonts w:ascii="Times New Roman" w:eastAsia="MS Mincho" w:hAnsi="Times New Roman" w:cs="Times New Roman"/>
          <w:sz w:val="24"/>
        </w:rPr>
        <w:t xml:space="preserve"> Autor unwichtig war. Nur noch erwähnt seien die sehr gestauchten Flöten (Nr. 1), die Tasteninstrumente mit ihrem winzigen Tonumfang und der willkürlichen Obertastenanordnung (Nr. 2), die Bünde der Violine (Nr. 4), die vier Saiten der Gambe (Nr. 5), der einfache Kragen der Theorbe (Nr. 7) oder die nach außen gewendete Halsbeugung und bis in die Beuge der Baronstange fortgesetzte Besaitung der Harfe (Nr. 11).</w:t>
      </w:r>
      <w:r>
        <w:rPr>
          <w:rStyle w:val="Funotenzeichen"/>
          <w:rFonts w:ascii="Times New Roman" w:eastAsia="MS Mincho" w:hAnsi="Times New Roman" w:cs="Times New Roman"/>
          <w:sz w:val="24"/>
        </w:rPr>
        <w:footnoteReference w:id="136"/>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lastRenderedPageBreak/>
        <w:t xml:space="preserve">Wenn auch nicht zu bezweifeln ist, dass Megerle ein großer Liebhaber und Propagator eines vielfältigen Instrumentariums war, so will er die Instrumente im </w:t>
      </w:r>
      <w:r>
        <w:rPr>
          <w:rFonts w:ascii="Times New Roman" w:eastAsia="MS Mincho" w:hAnsi="Times New Roman" w:cs="Times New Roman"/>
          <w:i/>
          <w:iCs/>
          <w:sz w:val="24"/>
        </w:rPr>
        <w:t xml:space="preserve">Speculum </w:t>
      </w:r>
      <w:r>
        <w:rPr>
          <w:rFonts w:ascii="Times New Roman" w:eastAsia="MS Mincho" w:hAnsi="Times New Roman" w:cs="Times New Roman"/>
          <w:sz w:val="24"/>
        </w:rPr>
        <w:t>doch primär als allgemeine Signaturen, als „gwisses Kenzeichen zur ewigen Glory“ verstanden wissen.</w:t>
      </w:r>
      <w:r>
        <w:rPr>
          <w:rStyle w:val="Funotenzeichen"/>
          <w:rFonts w:ascii="Times New Roman" w:eastAsia="MS Mincho" w:hAnsi="Times New Roman" w:cs="Times New Roman"/>
          <w:sz w:val="24"/>
        </w:rPr>
        <w:footnoteReference w:id="137"/>
      </w: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 xml:space="preserve">VI. Zu den im </w:t>
      </w:r>
      <w:r>
        <w:rPr>
          <w:rFonts w:ascii="Times New Roman" w:eastAsia="MS Mincho" w:hAnsi="Times New Roman" w:cs="Times New Roman"/>
          <w:i/>
          <w:iCs/>
          <w:sz w:val="24"/>
        </w:rPr>
        <w:t>Speculum</w:t>
      </w:r>
      <w:r>
        <w:rPr>
          <w:rFonts w:ascii="Times New Roman" w:eastAsia="MS Mincho" w:hAnsi="Times New Roman" w:cs="Times New Roman"/>
          <w:sz w:val="24"/>
        </w:rPr>
        <w:t xml:space="preserve"> referierten anderen Schriften Megerles (</w:t>
      </w:r>
      <w:r>
        <w:rPr>
          <w:rFonts w:ascii="Times New Roman" w:eastAsia="MS Mincho" w:hAnsi="Times New Roman" w:cs="Times New Roman"/>
          <w:i/>
          <w:iCs/>
          <w:sz w:val="24"/>
        </w:rPr>
        <w:t>Electuarium</w:t>
      </w:r>
      <w:r>
        <w:rPr>
          <w:rFonts w:ascii="Times New Roman" w:eastAsia="MS Mincho" w:hAnsi="Times New Roman" w:cs="Times New Roman"/>
          <w:sz w:val="24"/>
        </w:rPr>
        <w:t xml:space="preserve"> und </w:t>
      </w:r>
      <w:r>
        <w:rPr>
          <w:rFonts w:ascii="Times New Roman" w:eastAsia="MS Mincho" w:hAnsi="Times New Roman" w:cs="Times New Roman"/>
          <w:i/>
          <w:iCs/>
          <w:sz w:val="24"/>
        </w:rPr>
        <w:t>Scala Musica Coelestis</w:t>
      </w:r>
      <w:r>
        <w:rPr>
          <w:rFonts w:ascii="Times New Roman" w:eastAsia="MS Mincho" w:hAnsi="Times New Roman" w:cs="Times New Roman"/>
          <w:sz w:val="24"/>
        </w:rPr>
        <w:t>)</w:t>
      </w: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 xml:space="preserve">In seiner „erleuterung“ der Totenkopfbilder für den „günstigen Leser“ referiert Megerle auf fünf Seiten, um die aus den ersten beiden Totenköpfen hervorsprießenden Blumen zu erklären, eine von ihm 1660 veröffentlichte, heute verschollene Schrift mit dem Titel </w:t>
      </w:r>
      <w:r>
        <w:rPr>
          <w:rFonts w:ascii="Times New Roman" w:eastAsia="MS Mincho" w:hAnsi="Times New Roman" w:cs="Times New Roman"/>
          <w:i/>
          <w:iCs/>
          <w:sz w:val="24"/>
        </w:rPr>
        <w:t>Electuarium, zu Teutsch Geistlicher Krafft- oder Lebzelten</w:t>
      </w:r>
      <w:r>
        <w:rPr>
          <w:rStyle w:val="Funotenzeichen"/>
          <w:rFonts w:ascii="Times New Roman" w:eastAsia="MS Mincho" w:hAnsi="Times New Roman" w:cs="Times New Roman"/>
          <w:sz w:val="24"/>
        </w:rPr>
        <w:footnoteReference w:id="138"/>
      </w:r>
      <w:r>
        <w:rPr>
          <w:rFonts w:ascii="Times New Roman" w:eastAsia="MS Mincho" w:hAnsi="Times New Roman" w:cs="Times New Roman"/>
          <w:sz w:val="24"/>
        </w:rPr>
        <w:t xml:space="preserve"> genannt / auß den haylbringenden Namen JESVS vnd MARIA gemacht / mit 5. Psalmen jeder mit fünff Verß / so durch die ersten Buchstaben die zwey glorwürdigiste Namen entdecken</w:t>
      </w:r>
      <w:r>
        <w:rPr>
          <w:rStyle w:val="Funotenzeichen"/>
          <w:rFonts w:ascii="Times New Roman" w:eastAsia="MS Mincho" w:hAnsi="Times New Roman" w:cs="Times New Roman"/>
          <w:sz w:val="24"/>
        </w:rPr>
        <w:footnoteReference w:id="139"/>
      </w:r>
      <w:r>
        <w:rPr>
          <w:rFonts w:ascii="Times New Roman" w:eastAsia="MS Mincho" w:hAnsi="Times New Roman" w:cs="Times New Roman"/>
          <w:sz w:val="24"/>
        </w:rPr>
        <w:t>. Er greift dabei auf die Legende des seligen Joscio zurück, dem 1619 ein eigener Kult im Kloster St. Bertin eingerichtet wurde, wo er 1163 unter wunderbaren Umständen verstorben war.</w:t>
      </w:r>
      <w:r>
        <w:rPr>
          <w:rStyle w:val="Funotenzeichen"/>
          <w:rFonts w:ascii="Times New Roman" w:eastAsia="MS Mincho" w:hAnsi="Times New Roman" w:cs="Times New Roman"/>
          <w:sz w:val="24"/>
        </w:rPr>
        <w:footnoteReference w:id="140"/>
      </w:r>
      <w:r>
        <w:rPr>
          <w:rFonts w:ascii="Times New Roman" w:eastAsia="MS Mincho" w:hAnsi="Times New Roman" w:cs="Times New Roman"/>
          <w:sz w:val="24"/>
        </w:rPr>
        <w:t xml:space="preserve"> Man sah nämlich „nach seinem Todt in seinem Gesicht (mit grossem glantz vmbgeben) fünff purpurfarbe Rosen / auß dem Mund / auß bayden Augen / vnd bayden Ohren herfür gehen / auf deren jeder ein besonderer Buchstab deß guldinen Namens Mariae zusehen war“.</w:t>
      </w:r>
      <w:r>
        <w:rPr>
          <w:rStyle w:val="Funotenzeichen"/>
          <w:rFonts w:ascii="Times New Roman" w:eastAsia="MS Mincho" w:hAnsi="Times New Roman" w:cs="Times New Roman"/>
          <w:sz w:val="24"/>
        </w:rPr>
        <w:footnoteReference w:id="141"/>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Über den Bezug zum Tod des Joscio hinaus passt dieses geistliche Blumenbuch in den Todtenspiegel, weil Megerle es im Sinne der Memento- und Vado mori-Tradition vornehmlich als Vorbereitung zur „letzten Raiß“</w:t>
      </w:r>
      <w:r>
        <w:rPr>
          <w:rStyle w:val="Funotenzeichen"/>
          <w:rFonts w:ascii="Times New Roman" w:eastAsia="MS Mincho" w:hAnsi="Times New Roman" w:cs="Times New Roman"/>
          <w:sz w:val="24"/>
        </w:rPr>
        <w:footnoteReference w:id="142"/>
      </w:r>
      <w:r>
        <w:rPr>
          <w:rFonts w:ascii="Times New Roman" w:eastAsia="MS Mincho" w:hAnsi="Times New Roman" w:cs="Times New Roman"/>
          <w:sz w:val="24"/>
        </w:rPr>
        <w:t xml:space="preserve"> geschrieben hat. Dabei parallelisiert er eine äusserliche Wirkung der Blumen als Heilpflanzen mit einer innerlichen, geistlichen, deren man sich erst „dort in ewiger Frewd / ohne End gebrauchen und bedienen“ kann.</w:t>
      </w:r>
      <w:r>
        <w:rPr>
          <w:rStyle w:val="Funotenzeichen"/>
          <w:rFonts w:ascii="Times New Roman" w:eastAsia="MS Mincho" w:hAnsi="Times New Roman" w:cs="Times New Roman"/>
          <w:sz w:val="24"/>
        </w:rPr>
        <w:footnoteReference w:id="143"/>
      </w:r>
      <w:r>
        <w:rPr>
          <w:rFonts w:ascii="Times New Roman" w:eastAsia="MS Mincho" w:hAnsi="Times New Roman" w:cs="Times New Roman"/>
          <w:sz w:val="24"/>
        </w:rPr>
        <w:t xml:space="preserve"> Das sprichwörtliche Verwelken der irdischen Blumen (vgl. Ps 102,15f.) - Megerle thematisiert es im zehnten Totenkopfbild und -gedicht - und die Assoziation des Schnitter-Tod-Topos</w:t>
      </w:r>
      <w:r>
        <w:rPr>
          <w:rStyle w:val="Funotenzeichen"/>
          <w:rFonts w:ascii="Times New Roman" w:eastAsia="MS Mincho" w:hAnsi="Times New Roman" w:cs="Times New Roman"/>
          <w:sz w:val="24"/>
        </w:rPr>
        <w:footnoteReference w:id="144"/>
      </w:r>
      <w:r>
        <w:rPr>
          <w:rFonts w:ascii="Times New Roman" w:eastAsia="MS Mincho" w:hAnsi="Times New Roman" w:cs="Times New Roman"/>
          <w:sz w:val="24"/>
        </w:rPr>
        <w:t xml:space="preserve"> unterstreicht zusammen mit der sprichwörtlichen </w:t>
      </w:r>
      <w:r>
        <w:rPr>
          <w:rFonts w:ascii="Times New Roman" w:eastAsia="MS Mincho" w:hAnsi="Times New Roman" w:cs="Times New Roman"/>
          <w:sz w:val="24"/>
        </w:rPr>
        <w:lastRenderedPageBreak/>
        <w:t>Blumenschönheit (vgl. Mt 6,29) als Abglanz der himmlischen Vollkommenheit</w:t>
      </w:r>
      <w:r>
        <w:rPr>
          <w:rStyle w:val="Funotenzeichen"/>
          <w:rFonts w:ascii="Times New Roman" w:eastAsia="MS Mincho" w:hAnsi="Times New Roman" w:cs="Times New Roman"/>
          <w:sz w:val="24"/>
        </w:rPr>
        <w:footnoteReference w:id="145"/>
      </w:r>
      <w:r>
        <w:rPr>
          <w:rFonts w:ascii="Times New Roman" w:eastAsia="MS Mincho" w:hAnsi="Times New Roman" w:cs="Times New Roman"/>
          <w:sz w:val="24"/>
        </w:rPr>
        <w:t xml:space="preserve"> die Antithese. In diesem Sinne dürften sie auch das aus dem Tod hervorwachsende (ewige) Leben symbolisieren.</w:t>
      </w:r>
      <w:r>
        <w:rPr>
          <w:rStyle w:val="Funotenzeichen"/>
          <w:rFonts w:ascii="Times New Roman" w:eastAsia="MS Mincho" w:hAnsi="Times New Roman" w:cs="Times New Roman"/>
          <w:sz w:val="24"/>
        </w:rPr>
        <w:footnoteReference w:id="146"/>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Was den äußerlichen Nutzen betrifft, so beruft Megerle sich auf antike und neuere Heilkundige, nämlich auf Gaius Plinius Secundus </w:t>
      </w:r>
      <w:r>
        <w:rPr>
          <w:rFonts w:ascii="Times New Roman" w:eastAsia="MS Mincho" w:hAnsi="Times New Roman" w:cs="Times New Roman"/>
          <w:i/>
          <w:iCs/>
          <w:sz w:val="24"/>
        </w:rPr>
        <w:t>Historia naturalis</w:t>
      </w:r>
      <w:r>
        <w:rPr>
          <w:rFonts w:ascii="Times New Roman" w:eastAsia="MS Mincho" w:hAnsi="Times New Roman" w:cs="Times New Roman"/>
          <w:sz w:val="24"/>
        </w:rPr>
        <w:t xml:space="preserve">, Pedanius Dioscurides </w:t>
      </w:r>
      <w:r>
        <w:rPr>
          <w:rFonts w:ascii="Times New Roman" w:eastAsia="MS Mincho" w:hAnsi="Times New Roman" w:cs="Times New Roman"/>
          <w:i/>
          <w:iCs/>
          <w:sz w:val="24"/>
        </w:rPr>
        <w:t>De materia medica</w:t>
      </w:r>
      <w:r>
        <w:rPr>
          <w:rFonts w:ascii="Times New Roman" w:eastAsia="MS Mincho" w:hAnsi="Times New Roman" w:cs="Times New Roman"/>
          <w:sz w:val="24"/>
        </w:rPr>
        <w:t xml:space="preserve">, Adam Lonitzers </w:t>
      </w:r>
      <w:r>
        <w:rPr>
          <w:rFonts w:ascii="Times New Roman" w:eastAsia="MS Mincho" w:hAnsi="Times New Roman" w:cs="Times New Roman"/>
          <w:i/>
          <w:iCs/>
          <w:sz w:val="24"/>
        </w:rPr>
        <w:t>Künstliche Konterfeyungen der Bäume</w:t>
      </w:r>
      <w:r>
        <w:rPr>
          <w:rFonts w:ascii="Times New Roman" w:eastAsia="MS Mincho" w:hAnsi="Times New Roman" w:cs="Times New Roman"/>
          <w:sz w:val="24"/>
        </w:rPr>
        <w:t xml:space="preserve"> ... (Frankfurt a.M. </w:t>
      </w:r>
      <w:r>
        <w:rPr>
          <w:rFonts w:ascii="Times New Roman" w:eastAsia="MS Mincho" w:hAnsi="Times New Roman" w:cs="Times New Roman"/>
          <w:sz w:val="24"/>
          <w:vertAlign w:val="superscript"/>
        </w:rPr>
        <w:t>1</w:t>
      </w:r>
      <w:r>
        <w:rPr>
          <w:rFonts w:ascii="Times New Roman" w:eastAsia="MS Mincho" w:hAnsi="Times New Roman" w:cs="Times New Roman"/>
          <w:sz w:val="24"/>
        </w:rPr>
        <w:t xml:space="preserve">1546) sowie auf das </w:t>
      </w:r>
      <w:r>
        <w:rPr>
          <w:rFonts w:ascii="Times New Roman" w:eastAsia="MS Mincho" w:hAnsi="Times New Roman" w:cs="Times New Roman"/>
          <w:i/>
          <w:iCs/>
          <w:sz w:val="24"/>
        </w:rPr>
        <w:t>Kreütterbuch</w:t>
      </w:r>
      <w:r>
        <w:rPr>
          <w:rFonts w:ascii="Times New Roman" w:eastAsia="MS Mincho" w:hAnsi="Times New Roman" w:cs="Times New Roman"/>
          <w:sz w:val="24"/>
        </w:rPr>
        <w:t xml:space="preserve"> Hieronymus Bocks (Straßburg </w:t>
      </w:r>
      <w:r>
        <w:rPr>
          <w:rFonts w:ascii="Times New Roman" w:eastAsia="MS Mincho" w:hAnsi="Times New Roman" w:cs="Times New Roman"/>
          <w:sz w:val="24"/>
          <w:vertAlign w:val="superscript"/>
        </w:rPr>
        <w:t>1</w:t>
      </w:r>
      <w:r>
        <w:rPr>
          <w:rFonts w:ascii="Times New Roman" w:eastAsia="MS Mincho" w:hAnsi="Times New Roman" w:cs="Times New Roman"/>
          <w:sz w:val="24"/>
        </w:rPr>
        <w:t>1546). Die geistliche Bedeutung der Blumen erschließt er durch ein tertium comparationis aus der körperlichen, oder er greift einfach auf alte Symboltraditionen zurück, wie sie im Falle der bekannten Mariensymbole Rose, Schwertlilie und Akelei seit Jahrhunderten existieren. Übrigens könnte Megerle die Begriffe äußerlich und innerlich von Bock übernommen haben; dort sind sie allerdings beide im medizinisch-therapeutischen Sinne gemeint, also nach Megerles Verständnis äußerlich, während seine Unterscheidung in der Tradition der mittelalterlichen Bibelexegese steht und dem sensus litteralis einen sensus mystice gegenüberstellt.</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Neben dem ausführlich referierten </w:t>
      </w:r>
      <w:r>
        <w:rPr>
          <w:rFonts w:ascii="Times New Roman" w:eastAsia="MS Mincho" w:hAnsi="Times New Roman" w:cs="Times New Roman"/>
          <w:i/>
          <w:iCs/>
          <w:sz w:val="24"/>
        </w:rPr>
        <w:t>Electuarium</w:t>
      </w:r>
      <w:r>
        <w:rPr>
          <w:rFonts w:ascii="Times New Roman" w:eastAsia="MS Mincho" w:hAnsi="Times New Roman" w:cs="Times New Roman"/>
          <w:sz w:val="24"/>
        </w:rPr>
        <w:t xml:space="preserve"> erwähnt Megerle im </w:t>
      </w:r>
      <w:r>
        <w:rPr>
          <w:rFonts w:ascii="Times New Roman" w:eastAsia="MS Mincho" w:hAnsi="Times New Roman" w:cs="Times New Roman"/>
          <w:i/>
          <w:iCs/>
          <w:sz w:val="24"/>
        </w:rPr>
        <w:t>Speculum</w:t>
      </w:r>
      <w:r>
        <w:rPr>
          <w:rFonts w:ascii="Times New Roman" w:eastAsia="MS Mincho" w:hAnsi="Times New Roman" w:cs="Times New Roman"/>
          <w:sz w:val="24"/>
        </w:rPr>
        <w:t xml:space="preserve"> noch kurz ein anderes „Büchl genannt Scala Musica Coelestis, das ist / Musicalische Himmels-Laiter / sowol Teutsch als Lateinisch“.</w:t>
      </w:r>
      <w:r>
        <w:rPr>
          <w:rStyle w:val="Funotenzeichen"/>
          <w:rFonts w:ascii="Times New Roman" w:eastAsia="MS Mincho" w:hAnsi="Times New Roman" w:cs="Times New Roman"/>
          <w:sz w:val="24"/>
        </w:rPr>
        <w:footnoteReference w:id="147"/>
      </w:r>
      <w:r>
        <w:rPr>
          <w:rFonts w:ascii="Times New Roman" w:eastAsia="MS Mincho" w:hAnsi="Times New Roman" w:cs="Times New Roman"/>
          <w:sz w:val="24"/>
        </w:rPr>
        <w:t xml:space="preserve"> In dieser damals noch ungedruckten, heute ebenfalls verschollenen Schrift ging es um die allegorische Auslegung der Tonleiter bzw. des von Megerle um den siebten Ton si erweiterten Solmisationssystems.</w:t>
      </w:r>
      <w:r>
        <w:rPr>
          <w:rStyle w:val="Funotenzeichen"/>
          <w:rFonts w:ascii="Times New Roman" w:eastAsia="MS Mincho" w:hAnsi="Times New Roman" w:cs="Times New Roman"/>
          <w:sz w:val="24"/>
        </w:rPr>
        <w:footnoteReference w:id="148"/>
      </w:r>
      <w:r>
        <w:rPr>
          <w:rFonts w:ascii="Times New Roman" w:eastAsia="MS Mincho" w:hAnsi="Times New Roman" w:cs="Times New Roman"/>
          <w:sz w:val="24"/>
        </w:rPr>
        <w:t xml:space="preserve"> Die Allegorese muss wiederum mit den Namen Jesus und Maria zu tun gehabt haben, da die Noten und Tonsilben sowohl auf dem erwähnten Gemälde, als auch auf einem ebenfalls in Zoffingen erhaltenen Pendantbild mit Christus „in der Glory“ erscheinen. Einmal als Tonleiter, einmal als Canon „Trium Vocum“ werden sie auf Schriftbändern, die mit den Namen „IESVS“ und „MARIA“ unterschrieben sind, von Engeln getragen; die </w:t>
      </w:r>
      <w:r>
        <w:rPr>
          <w:rFonts w:ascii="Times New Roman" w:eastAsia="MS Mincho" w:hAnsi="Times New Roman" w:cs="Times New Roman"/>
          <w:sz w:val="24"/>
        </w:rPr>
        <w:lastRenderedPageBreak/>
        <w:t>Tonleitern sind jeweils in zwei Hälften geteilt, wobei Jesus die Tonsilben ut-re-mi, Maria aber fa-sol-la-si zugeordnet werden. Der Grund dafür könnte in der Übereinstimmung der Vokale i u e i (in Iesus) bzw. a (o scheidet aus) a i (in Maria) mit denen der Tonnamen liegen.</w:t>
      </w:r>
      <w:r>
        <w:rPr>
          <w:rStyle w:val="Funotenzeichen"/>
          <w:rFonts w:ascii="Times New Roman" w:eastAsia="MS Mincho" w:hAnsi="Times New Roman" w:cs="Times New Roman"/>
          <w:sz w:val="24"/>
        </w:rPr>
        <w:footnoteReference w:id="149"/>
      </w:r>
      <w:r>
        <w:rPr>
          <w:rFonts w:ascii="Times New Roman" w:eastAsia="MS Mincho" w:hAnsi="Times New Roman" w:cs="Times New Roman"/>
          <w:sz w:val="24"/>
        </w:rPr>
        <w:t xml:space="preserve"> Vielleicht ging es aber auch um Jesus bzw. Gott als Grundton oder unitas der Weltmusik und um Maria als Weg dorthin, wobei eventuell nicht nur der Leitton si eine Rolle spielt, sondern auch dessen „schmerzliche“ Tritonusspannung zum fa; diese verweist auf die Schmerzensmutter oder „Regina Martyrum“</w:t>
      </w:r>
      <w:r>
        <w:rPr>
          <w:rStyle w:val="Funotenzeichen"/>
          <w:rFonts w:ascii="Times New Roman" w:eastAsia="MS Mincho" w:hAnsi="Times New Roman" w:cs="Times New Roman"/>
          <w:sz w:val="24"/>
        </w:rPr>
        <w:footnoteReference w:id="150"/>
      </w:r>
      <w:r>
        <w:rPr>
          <w:rFonts w:ascii="Times New Roman" w:eastAsia="MS Mincho" w:hAnsi="Times New Roman" w:cs="Times New Roman"/>
          <w:sz w:val="24"/>
        </w:rPr>
        <w:t xml:space="preserve"> bzw. den Weg des miles christianus von der ecclesia militans zur himmlischen ecclesia triumphans, wie er auch in den Stationen des schmerzhaften (Ersatz-)Rosenkranzes als Gebeten unter den einzelnen Totenkopfbildern sowie den verschiedenen Wegmetaphern des </w:t>
      </w:r>
      <w:r>
        <w:rPr>
          <w:rFonts w:ascii="Times New Roman" w:eastAsia="MS Mincho" w:hAnsi="Times New Roman" w:cs="Times New Roman"/>
          <w:i/>
          <w:iCs/>
          <w:sz w:val="24"/>
        </w:rPr>
        <w:t xml:space="preserve">Speculum </w:t>
      </w:r>
      <w:r>
        <w:rPr>
          <w:rFonts w:ascii="Times New Roman" w:eastAsia="MS Mincho" w:hAnsi="Times New Roman" w:cs="Times New Roman"/>
          <w:sz w:val="24"/>
        </w:rPr>
        <w:t xml:space="preserve">angedeutet ist. Die </w:t>
      </w:r>
      <w:r>
        <w:rPr>
          <w:rFonts w:ascii="Times New Roman" w:eastAsia="MS Mincho" w:hAnsi="Times New Roman" w:cs="Times New Roman"/>
          <w:i/>
          <w:iCs/>
          <w:sz w:val="24"/>
        </w:rPr>
        <w:t>Scala Musica Coelestis</w:t>
      </w:r>
      <w:r>
        <w:rPr>
          <w:rFonts w:ascii="Times New Roman" w:eastAsia="MS Mincho" w:hAnsi="Times New Roman" w:cs="Times New Roman"/>
          <w:sz w:val="24"/>
        </w:rPr>
        <w:t xml:space="preserve"> ist überdies ein weiterer Beleg dafür, dass Megerle die Grundlagen der Musik als ewige Gesetze, zumindest als Brücke zum Ewigen verstand.</w:t>
      </w: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br w:type="page"/>
      </w:r>
      <w:r>
        <w:rPr>
          <w:rFonts w:ascii="Times New Roman" w:eastAsia="MS Mincho" w:hAnsi="Times New Roman" w:cs="Times New Roman"/>
          <w:sz w:val="24"/>
        </w:rPr>
        <w:lastRenderedPageBreak/>
        <w:t>VII. Einzelbemerkungen (zu den fortlaufenden Seiten)</w:t>
      </w: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(I)</w:t>
      </w:r>
      <w:r>
        <w:rPr>
          <w:rFonts w:ascii="Times New Roman" w:eastAsia="MS Mincho" w:hAnsi="Times New Roman" w:cs="Times New Roman"/>
          <w:sz w:val="24"/>
        </w:rPr>
        <w:tab/>
        <w:t>Megerle erscheint mit Calotte (pileolus, subbiretum) und im Talarrock (soutanelle) als Kanoniker, durch das große Brustkreuz (pectorale) auch als Protonotar ausgewiesen. Der Rahmen zeigt links den Vesperrock (pluviale), das liturgische Obergewand des Priesters, rechts das Messgewand (casula, Kasel) in Art eines barocken Skapuliers.</w:t>
      </w:r>
    </w:p>
    <w:p w:rsidR="00033488" w:rsidRDefault="00033488" w:rsidP="00033488">
      <w:pPr>
        <w:pStyle w:val="NurText"/>
        <w:spacing w:line="360" w:lineRule="auto"/>
        <w:ind w:left="284" w:firstLine="284"/>
        <w:jc w:val="both"/>
        <w:rPr>
          <w:rFonts w:ascii="Times New Roman" w:eastAsia="MS Mincho" w:hAnsi="Times New Roman" w:cs="Times New Roman"/>
          <w:sz w:val="24"/>
          <w:lang w:val="it-IT"/>
        </w:rPr>
      </w:pPr>
      <w:r>
        <w:rPr>
          <w:rFonts w:ascii="Times New Roman" w:eastAsia="MS Mincho" w:hAnsi="Times New Roman" w:cs="Times New Roman"/>
          <w:sz w:val="24"/>
        </w:rPr>
        <w:t xml:space="preserve">Gerippe und Engel symbolisieren die Polarität von Vergänglichkeit und Ewigkeit, ähnlich der Totenkopf unten und Megerles Wappen mit Helmdeck, Kardinalshut und Lorbeer oben. In der Emblematik symbolisiert der Lorbeer Ruhm über den Tod hinaus (s. Henkel/Schöne, wie Anm. 47, Sp. 999f.); Abraham a Sancta Clara deutet in der </w:t>
      </w:r>
      <w:r>
        <w:rPr>
          <w:rFonts w:ascii="Times New Roman" w:eastAsia="MS Mincho" w:hAnsi="Times New Roman" w:cs="Times New Roman"/>
          <w:i/>
          <w:iCs/>
          <w:sz w:val="24"/>
        </w:rPr>
        <w:t>Epitome</w:t>
      </w:r>
      <w:r>
        <w:rPr>
          <w:rFonts w:ascii="Times New Roman" w:eastAsia="MS Mincho" w:hAnsi="Times New Roman" w:cs="Times New Roman"/>
          <w:sz w:val="24"/>
        </w:rPr>
        <w:t xml:space="preserve"> die Quasten an Megerles Protonotarhut, wie den adeligen Federschmuck, nicht etwa als Kleben am Irdischen, sondern als Freiheits- bzw. Erlösungsdrang, in den hohen Himmel zu schweben. </w:t>
      </w:r>
      <w:proofErr w:type="gramStart"/>
      <w:r>
        <w:rPr>
          <w:rFonts w:ascii="Times New Roman" w:eastAsia="MS Mincho" w:hAnsi="Times New Roman" w:cs="Times New Roman"/>
          <w:sz w:val="24"/>
          <w:lang w:val="it-IT"/>
        </w:rPr>
        <w:t>(S.</w:t>
      </w:r>
      <w:proofErr w:type="gramEnd"/>
      <w:r>
        <w:rPr>
          <w:rFonts w:ascii="Times New Roman" w:eastAsia="MS Mincho" w:hAnsi="Times New Roman" w:cs="Times New Roman"/>
          <w:sz w:val="24"/>
          <w:lang w:val="it-IT"/>
        </w:rPr>
        <w:t xml:space="preserve"> 461: „... quae Ornatu plumeo Adornatam jugiter in caeli sublimia evolandi cupidinem repraesentat. ... Tegit autem Stemmaticas Abrahami plumas, Pileus Protonotarius: Non ut, quem dixi, volatum impediat, sed adjuvet etiam quam ante liberius volaturum, nam libertatis tessera pileus est.</w:t>
      </w:r>
      <w:proofErr w:type="gramStart"/>
      <w:r>
        <w:rPr>
          <w:rFonts w:ascii="Times New Roman" w:eastAsia="MS Mincho" w:hAnsi="Times New Roman" w:cs="Times New Roman"/>
          <w:sz w:val="24"/>
          <w:lang w:val="it-IT"/>
        </w:rPr>
        <w:t>“</w:t>
      </w:r>
      <w:proofErr w:type="gramEnd"/>
      <w:r>
        <w:rPr>
          <w:rFonts w:ascii="Times New Roman" w:eastAsia="MS Mincho" w:hAnsi="Times New Roman" w:cs="Times New Roman"/>
          <w:sz w:val="24"/>
          <w:lang w:val="it-IT"/>
        </w:rPr>
        <w:t xml:space="preserve"> - </w:t>
      </w:r>
      <w:proofErr w:type="gramStart"/>
      <w:r>
        <w:rPr>
          <w:rFonts w:ascii="Times New Roman" w:eastAsia="MS Mincho" w:hAnsi="Times New Roman" w:cs="Times New Roman"/>
          <w:sz w:val="24"/>
          <w:lang w:val="it-IT"/>
        </w:rPr>
        <w:t>Vgl.</w:t>
      </w:r>
      <w:proofErr w:type="gramEnd"/>
      <w:r>
        <w:rPr>
          <w:rFonts w:ascii="Times New Roman" w:eastAsia="MS Mincho" w:hAnsi="Times New Roman" w:cs="Times New Roman"/>
          <w:sz w:val="24"/>
          <w:lang w:val="it-IT"/>
        </w:rPr>
        <w:t xml:space="preserve"> dagegen die </w:t>
      </w:r>
      <w:r>
        <w:rPr>
          <w:rFonts w:ascii="Times New Roman" w:eastAsia="MS Mincho" w:hAnsi="Times New Roman" w:cs="Times New Roman"/>
          <w:i/>
          <w:iCs/>
          <w:sz w:val="24"/>
          <w:lang w:val="it-IT"/>
        </w:rPr>
        <w:t>Totenkapelle</w:t>
      </w:r>
      <w:r>
        <w:rPr>
          <w:rFonts w:ascii="Times New Roman" w:eastAsia="MS Mincho" w:hAnsi="Times New Roman" w:cs="Times New Roman"/>
          <w:sz w:val="24"/>
          <w:lang w:val="it-IT"/>
        </w:rPr>
        <w:t xml:space="preserve"> (wie Anm. 4, S. 164ff. und 329), wonach Adel und Wappen „in das Register der Eitelkeit“ gehören, denn „Adelsbrief gelten im Himmel nichts“.</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Zu den in den verschiedenen Exemplaren abweichenden Eintragungen des Sterbedatums s. den kritischen Bericht VIII.</w:t>
      </w:r>
    </w:p>
    <w:p w:rsidR="00033488" w:rsidRPr="00033488" w:rsidRDefault="00033488" w:rsidP="00033488">
      <w:pPr>
        <w:pStyle w:val="NurText"/>
        <w:spacing w:line="360" w:lineRule="auto"/>
        <w:ind w:left="284" w:hanging="284"/>
        <w:jc w:val="both"/>
        <w:rPr>
          <w:rFonts w:ascii="Times New Roman" w:eastAsia="MS Mincho" w:hAnsi="Times New Roman" w:cs="Times New Roman"/>
          <w:sz w:val="24"/>
          <w:lang w:val="en-US"/>
        </w:rPr>
      </w:pPr>
      <w:proofErr w:type="gramStart"/>
      <w:r>
        <w:rPr>
          <w:rFonts w:ascii="Times New Roman" w:eastAsia="MS Mincho" w:hAnsi="Times New Roman" w:cs="Times New Roman"/>
          <w:sz w:val="24"/>
          <w:lang w:val="it-IT"/>
        </w:rPr>
        <w:t>(II</w:t>
      </w:r>
      <w:proofErr w:type="gramEnd"/>
      <w:r>
        <w:rPr>
          <w:rFonts w:ascii="Times New Roman" w:eastAsia="MS Mincho" w:hAnsi="Times New Roman" w:cs="Times New Roman"/>
          <w:sz w:val="24"/>
          <w:lang w:val="it-IT"/>
        </w:rPr>
        <w:t>)</w:t>
      </w:r>
      <w:r>
        <w:rPr>
          <w:rFonts w:ascii="Times New Roman" w:eastAsia="MS Mincho" w:hAnsi="Times New Roman" w:cs="Times New Roman"/>
          <w:sz w:val="24"/>
          <w:lang w:val="it-IT"/>
        </w:rPr>
        <w:tab/>
      </w:r>
      <w:proofErr w:type="gramStart"/>
      <w:r>
        <w:rPr>
          <w:rFonts w:ascii="Times New Roman" w:eastAsia="MS Mincho" w:hAnsi="Times New Roman" w:cs="Times New Roman"/>
          <w:sz w:val="24"/>
          <w:lang w:val="it-IT"/>
        </w:rPr>
        <w:t>„S.R.E.“ = Sacrae Romanae Ecclesiae</w:t>
      </w:r>
      <w:proofErr w:type="gramEnd"/>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Protonotarius - Megerle war nur Titularprotonotar, gehörte somit zur einfachsten Klasse der Protonotare, protonotarii supranumerarii oder extranumerarii oder non participantes. Wie viele Protonotare seiner Zeit versuchte er aber, seine Privilegien auszuweiten, was unter anderem zu Rangstreitigkeiten bei Prozessionen etc. führte (vgl. Albert, S. 36ff.).</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(III)</w:t>
      </w:r>
      <w:r>
        <w:rPr>
          <w:rFonts w:ascii="Times New Roman" w:eastAsia="MS Mincho" w:hAnsi="Times New Roman" w:cs="Times New Roman"/>
          <w:sz w:val="24"/>
        </w:rPr>
        <w:tab/>
        <w:t xml:space="preserve">Mit dem Fürstbischof Albert Sigismund stand Megerle in brieflichem Kontakt; vgl. seine Bittschrift aus den letzten Lebensjahren, wiedergegeben bei Albert, S. 129f. und Deutinger, S. 430. Unter anderem bittet Megerle darum, „das ich ohne Vnkosten in Vnser Stifftkhirchen kundte begraben werden“; vgl. auch die Apostrophe, </w:t>
      </w:r>
      <w:r>
        <w:rPr>
          <w:rFonts w:ascii="Times New Roman" w:eastAsia="MS Mincho" w:hAnsi="Times New Roman" w:cs="Times New Roman"/>
          <w:i/>
          <w:iCs/>
          <w:sz w:val="24"/>
        </w:rPr>
        <w:t>Speculum</w:t>
      </w:r>
      <w:r>
        <w:rPr>
          <w:rFonts w:ascii="Times New Roman" w:eastAsia="MS Mincho" w:hAnsi="Times New Roman" w:cs="Times New Roman"/>
          <w:sz w:val="24"/>
        </w:rPr>
        <w:t xml:space="preserve">, S. 3. - Im </w:t>
      </w:r>
      <w:r>
        <w:rPr>
          <w:rFonts w:ascii="Times New Roman" w:eastAsia="MS Mincho" w:hAnsi="Times New Roman" w:cs="Times New Roman"/>
          <w:i/>
          <w:iCs/>
          <w:sz w:val="24"/>
        </w:rPr>
        <w:t>Beylag zu meinem Testament</w:t>
      </w:r>
      <w:r>
        <w:rPr>
          <w:rFonts w:ascii="Times New Roman" w:eastAsia="MS Mincho" w:hAnsi="Times New Roman" w:cs="Times New Roman"/>
          <w:sz w:val="24"/>
        </w:rPr>
        <w:t xml:space="preserve"> vermacht er dem Fürstbischof ein Pontificale, ein Missale und eine Pistole (Münze) als Reliquie des hl. Fidelis, 5f. S., vgl. die (nicht ganz korrekte) Wiedergabe bei Haberl, S. 81f.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Megerles Verhältnis zum Dechant und den anderen Kanonikern scheint überwiegend problematisch gewesen zu sein; s. Albert, S. 35ff. und 124f. Gleichwohl vermacht Megerle im </w:t>
      </w:r>
      <w:r>
        <w:rPr>
          <w:rFonts w:ascii="Times New Roman" w:eastAsia="MS Mincho" w:hAnsi="Times New Roman" w:cs="Times New Roman"/>
          <w:i/>
          <w:iCs/>
          <w:sz w:val="24"/>
        </w:rPr>
        <w:t>Beylag</w:t>
      </w:r>
      <w:r>
        <w:rPr>
          <w:rFonts w:ascii="Times New Roman" w:eastAsia="MS Mincho" w:hAnsi="Times New Roman" w:cs="Times New Roman"/>
          <w:sz w:val="24"/>
        </w:rPr>
        <w:t xml:space="preserve"> (41. S.) „Unserm wohl Ehrwürdigen Löbl. Capitul alhie zu Altenötting main Contrafe ... dz manns allezeit solt in der Capitlstuben hangen lassen“.</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lastRenderedPageBreak/>
        <w:t>2</w:t>
      </w:r>
      <w:r>
        <w:rPr>
          <w:rFonts w:ascii="Times New Roman" w:eastAsia="MS Mincho" w:hAnsi="Times New Roman" w:cs="Times New Roman"/>
          <w:sz w:val="24"/>
        </w:rPr>
        <w:tab/>
        <w:t xml:space="preserve">Apostrophe = feierliche Anrede an abwesende Personen, Sinnfigur der Rhetorik.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lang w:val="fr-FR"/>
        </w:rPr>
        <w:t>3</w:t>
      </w:r>
      <w:r>
        <w:rPr>
          <w:rFonts w:ascii="Times New Roman" w:eastAsia="MS Mincho" w:hAnsi="Times New Roman" w:cs="Times New Roman"/>
          <w:sz w:val="24"/>
          <w:lang w:val="fr-FR"/>
        </w:rPr>
        <w:tab/>
        <w:t xml:space="preserve">„... vivite, ut vixisse ...“ - Vgl. </w:t>
      </w:r>
      <w:r>
        <w:rPr>
          <w:rFonts w:ascii="Times New Roman" w:eastAsia="MS Mincho" w:hAnsi="Times New Roman" w:cs="Times New Roman"/>
          <w:sz w:val="24"/>
        </w:rPr>
        <w:t xml:space="preserve">Marc Aurel, </w:t>
      </w:r>
      <w:r>
        <w:rPr>
          <w:rFonts w:ascii="Times New Roman" w:eastAsia="MS Mincho" w:hAnsi="Times New Roman" w:cs="Times New Roman"/>
          <w:i/>
          <w:iCs/>
          <w:sz w:val="24"/>
        </w:rPr>
        <w:t>Selbstbetrachtungen</w:t>
      </w:r>
      <w:r>
        <w:rPr>
          <w:rFonts w:ascii="Times New Roman" w:eastAsia="MS Mincho" w:hAnsi="Times New Roman" w:cs="Times New Roman"/>
          <w:sz w:val="24"/>
        </w:rPr>
        <w:t>, V</w:t>
      </w:r>
      <w:proofErr w:type="gramStart"/>
      <w:r>
        <w:rPr>
          <w:rFonts w:ascii="Times New Roman" w:eastAsia="MS Mincho" w:hAnsi="Times New Roman" w:cs="Times New Roman"/>
          <w:sz w:val="24"/>
        </w:rPr>
        <w:t>,29</w:t>
      </w:r>
      <w:proofErr w:type="gramEnd"/>
      <w:r>
        <w:rPr>
          <w:rFonts w:ascii="Times New Roman" w:eastAsia="MS Mincho" w:hAnsi="Times New Roman" w:cs="Times New Roman"/>
          <w:sz w:val="24"/>
        </w:rPr>
        <w:t xml:space="preserve">.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Lachesis ist nach Hesiod diejenige der drei Schicksalsgöttinnen (Moiren), die den Lebensfaden zuteilt. Die Moiren wurden in römischer Zeit mit den Parzen (ursprünglich Geburtsgöttinnen) gleichgesetzt. Die Vorstellung vom Lebensfaden geht aber auch auf Jes 38,12 zurück: „Zu Ende gewebt hab ich mein Leben wie ein Weber, er schneidet mich ab vom Faden.“ Beide Traditionen vereinigen sich in der Emblematik; s. Henkel/Schöne (wie Anm. 47), Sp. 1081.</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„Mors quippe senes ...“ - Ein Vado-mori-Gedicht von Heinrich von Langenstein hat den Refrain: „Mors est a tergo.“; s. dazu Koller (wie Anm. 41), S. 604. Zur Knabe-Greis-Antithese s. Ernst Robert Curtius, </w:t>
      </w:r>
      <w:r>
        <w:rPr>
          <w:rFonts w:ascii="Times New Roman" w:eastAsia="MS Mincho" w:hAnsi="Times New Roman" w:cs="Times New Roman"/>
          <w:i/>
          <w:iCs/>
          <w:sz w:val="24"/>
        </w:rPr>
        <w:t>Europäische Literatur und lateinisches Mittelalter</w:t>
      </w:r>
      <w:r>
        <w:rPr>
          <w:rFonts w:ascii="Times New Roman" w:eastAsia="MS Mincho" w:hAnsi="Times New Roman" w:cs="Times New Roman"/>
          <w:sz w:val="24"/>
        </w:rPr>
        <w:t xml:space="preserve">, Bern 1948, </w:t>
      </w:r>
      <w:r>
        <w:rPr>
          <w:rFonts w:ascii="Times New Roman" w:eastAsia="MS Mincho" w:hAnsi="Times New Roman" w:cs="Times New Roman"/>
          <w:sz w:val="24"/>
          <w:vertAlign w:val="superscript"/>
        </w:rPr>
        <w:t>8</w:t>
      </w:r>
      <w:r>
        <w:rPr>
          <w:rFonts w:ascii="Times New Roman" w:eastAsia="MS Mincho" w:hAnsi="Times New Roman" w:cs="Times New Roman"/>
          <w:sz w:val="24"/>
        </w:rPr>
        <w:t>1973, S. 108-112.</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„Si sapis, Vigila.“ - Vgl. das Gleichnis von de fünf klugen und den fünf törichten Jungfrauen, Mt 25,1-13: „Vigilate itaque, quia nescitis diem neque horam.“</w:t>
      </w:r>
    </w:p>
    <w:p w:rsidR="00033488" w:rsidRDefault="00033488" w:rsidP="00033488">
      <w:pPr>
        <w:pStyle w:val="NurText"/>
        <w:spacing w:line="360" w:lineRule="auto"/>
        <w:ind w:left="284" w:hanging="284"/>
        <w:jc w:val="both"/>
        <w:rPr>
          <w:rFonts w:ascii="Times New Roman" w:eastAsia="MS Mincho" w:hAnsi="Times New Roman" w:cs="Times New Roman"/>
          <w:sz w:val="24"/>
          <w:lang w:val="it-IT"/>
        </w:rPr>
      </w:pPr>
      <w:r>
        <w:rPr>
          <w:rFonts w:ascii="Times New Roman" w:eastAsia="MS Mincho" w:hAnsi="Times New Roman" w:cs="Times New Roman"/>
          <w:sz w:val="24"/>
        </w:rPr>
        <w:t>4</w:t>
      </w:r>
      <w:r>
        <w:rPr>
          <w:rFonts w:ascii="Times New Roman" w:eastAsia="MS Mincho" w:hAnsi="Times New Roman" w:cs="Times New Roman"/>
          <w:sz w:val="24"/>
        </w:rPr>
        <w:tab/>
        <w:t xml:space="preserve">Die letzten Aufforderungen der Apostrophe erinnern entfernt an die Augustus zugeschriebenen Sterbeworte: „Plaudite amici! </w:t>
      </w:r>
      <w:r>
        <w:rPr>
          <w:rFonts w:ascii="Times New Roman" w:eastAsia="MS Mincho" w:hAnsi="Times New Roman" w:cs="Times New Roman"/>
          <w:sz w:val="24"/>
          <w:lang w:val="it-IT"/>
        </w:rPr>
        <w:t xml:space="preserve">Finita est comoedia.“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6</w:t>
      </w:r>
      <w:r>
        <w:rPr>
          <w:rFonts w:ascii="Times New Roman" w:eastAsia="MS Mincho" w:hAnsi="Times New Roman" w:cs="Times New Roman"/>
          <w:sz w:val="24"/>
        </w:rPr>
        <w:tab/>
        <w:t xml:space="preserve">Megerles intensive Beziehungen zum Kloster Zoffingen lassen sich u.a. durch etliche daselbst erhaltene Briefe und Dokumente (Faszikel Nr. 20), Stiftungen und das Epitaph seines Herzens in der Kirche belegen.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Mit „Testament“ ist das (verschollene) Testament vom 19.8.1662 gemeint, außerdem der </w:t>
      </w:r>
      <w:r>
        <w:rPr>
          <w:rFonts w:ascii="Times New Roman" w:eastAsia="MS Mincho" w:hAnsi="Times New Roman" w:cs="Times New Roman"/>
          <w:i/>
          <w:iCs/>
          <w:sz w:val="24"/>
        </w:rPr>
        <w:t>Beylag zu meinem Testament</w:t>
      </w:r>
      <w:r>
        <w:rPr>
          <w:rFonts w:ascii="Times New Roman" w:eastAsia="MS Mincho" w:hAnsi="Times New Roman" w:cs="Times New Roman"/>
          <w:sz w:val="24"/>
        </w:rPr>
        <w:t>, wo ebenfalls von den gestifteten Messen etc. die Rede ist (12. S.).</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11</w:t>
      </w:r>
      <w:r>
        <w:rPr>
          <w:rFonts w:ascii="Times New Roman" w:eastAsia="MS Mincho" w:hAnsi="Times New Roman" w:cs="Times New Roman"/>
          <w:sz w:val="24"/>
        </w:rPr>
        <w:tab/>
        <w:t>Johann Stadlmayr, der Lehrer Megerles, wurde wahrscheinlich in Freising geboren und starb am 12. Juni 1648 in Innsbruck. Er erscheint zunächst 1603 als Musicus des Fürsterzbischofs von Salzburg, 1604 daselbst als Vizekapellmeister, im selben Jahr als Kapellmeister. 1606 oder 1607 folgte er einem Ruf als Hofkapellmeister nach Innsbruck. Er war nicht nur nach Megerles Einschätzung ein bedeutender Komponist; auch für Michael Praetorius ist er „ein vortrefflicher Contrapunctista und Musicus“ (</w:t>
      </w:r>
      <w:r>
        <w:rPr>
          <w:rFonts w:ascii="Times New Roman" w:eastAsia="MS Mincho" w:hAnsi="Times New Roman" w:cs="Times New Roman"/>
          <w:i/>
          <w:iCs/>
          <w:sz w:val="24"/>
        </w:rPr>
        <w:t>Syntagma musicum</w:t>
      </w:r>
      <w:r>
        <w:rPr>
          <w:rFonts w:ascii="Times New Roman" w:eastAsia="MS Mincho" w:hAnsi="Times New Roman" w:cs="Times New Roman"/>
          <w:sz w:val="24"/>
        </w:rPr>
        <w:t xml:space="preserve"> III, Wolfenbüttel 1619, S. 89) und noch für Wolfgang Caspar Printz „ein guter Componist und Capell-Meister“ (</w:t>
      </w:r>
      <w:r>
        <w:rPr>
          <w:rFonts w:ascii="Times New Roman" w:eastAsia="MS Mincho" w:hAnsi="Times New Roman" w:cs="Times New Roman"/>
          <w:i/>
          <w:iCs/>
          <w:sz w:val="24"/>
        </w:rPr>
        <w:t>Historische Beschreibung der edelen Sing- und Klingkunst</w:t>
      </w:r>
      <w:r>
        <w:rPr>
          <w:rFonts w:ascii="Times New Roman" w:eastAsia="MS Mincho" w:hAnsi="Times New Roman" w:cs="Times New Roman"/>
          <w:sz w:val="24"/>
        </w:rPr>
        <w:t xml:space="preserve">, Dresden 1690, S. 134). Seine Bedeutung liegt vor allem in der Komposition mehrchöriger Kirchenwerke nach italienischem, insbesondere römischem Vorbild. Damit hat er auch nachdrücklich Megerles Schaffen beeinflusst, sei es in Bearbeitungen, sei es in den Kolossaloffertorien der </w:t>
      </w:r>
      <w:r>
        <w:rPr>
          <w:rFonts w:ascii="Times New Roman" w:eastAsia="MS Mincho" w:hAnsi="Times New Roman" w:cs="Times New Roman"/>
          <w:i/>
          <w:iCs/>
          <w:sz w:val="24"/>
        </w:rPr>
        <w:t>Ara musica</w:t>
      </w:r>
      <w:r>
        <w:rPr>
          <w:rFonts w:ascii="Times New Roman" w:eastAsia="MS Mincho" w:hAnsi="Times New Roman" w:cs="Times New Roman"/>
          <w:sz w:val="24"/>
        </w:rPr>
        <w:t xml:space="preserve">. Vgl. Walter Senn, „Stadlmayr“, Art. in MGG (alt) XII,1127-1132.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12</w:t>
      </w:r>
      <w:r>
        <w:rPr>
          <w:rFonts w:ascii="Times New Roman" w:eastAsia="MS Mincho" w:hAnsi="Times New Roman" w:cs="Times New Roman"/>
          <w:sz w:val="24"/>
        </w:rPr>
        <w:tab/>
        <w:t xml:space="preserve">Ecl 1,2 oder 12,8.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lastRenderedPageBreak/>
        <w:t xml:space="preserve">Die </w:t>
      </w:r>
      <w:r>
        <w:rPr>
          <w:rFonts w:ascii="Times New Roman" w:eastAsia="MS Mincho" w:hAnsi="Times New Roman" w:cs="Times New Roman"/>
          <w:i/>
          <w:iCs/>
          <w:sz w:val="24"/>
        </w:rPr>
        <w:t>Imitatio Christi</w:t>
      </w:r>
      <w:r>
        <w:rPr>
          <w:rFonts w:ascii="Times New Roman" w:eastAsia="MS Mincho" w:hAnsi="Times New Roman" w:cs="Times New Roman"/>
          <w:sz w:val="24"/>
        </w:rPr>
        <w:t xml:space="preserve"> des seligen Thomas Hemerken von Kempen, nach der Bibel das verbreitetste Buch der Weltliteratur, entstand im 15. Jahrhundert und wurde in der katholischen Reformation vor allem durch die Jesuiten propagiert.</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13</w:t>
      </w:r>
      <w:r>
        <w:rPr>
          <w:rFonts w:ascii="Times New Roman" w:eastAsia="MS Mincho" w:hAnsi="Times New Roman" w:cs="Times New Roman"/>
          <w:sz w:val="24"/>
        </w:rPr>
        <w:tab/>
        <w:t xml:space="preserve">„Und gleich wie Ich/ noch anwesender Capellmaister zu Saltzburg ... andern hochberühmbten Herren Capellmaistern stattliche Exequias ...“ - Da Megerle nur bis 1650 Salzburger Kapellmeister war, handelt es sich, trotz der Mitwirkung der kurbayerischen Kapelle, wohl nicht um Exequien für den Münchner Hofkapellmeister Giovanni Giacomo Porro, da dieser seit 1635 in München wirkende Meister erst 1656 verstarb.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14</w:t>
      </w:r>
      <w:r>
        <w:rPr>
          <w:rFonts w:ascii="Times New Roman" w:eastAsia="MS Mincho" w:hAnsi="Times New Roman" w:cs="Times New Roman"/>
          <w:sz w:val="24"/>
        </w:rPr>
        <w:tab/>
        <w:t xml:space="preserve">Zum seligen Joscio s.o. S.***+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16</w:t>
      </w:r>
      <w:r>
        <w:rPr>
          <w:rFonts w:ascii="Times New Roman" w:eastAsia="MS Mincho" w:hAnsi="Times New Roman" w:cs="Times New Roman"/>
          <w:sz w:val="24"/>
        </w:rPr>
        <w:tab/>
        <w:t xml:space="preserve">„Iovis flos, oder Jesemin“ - Bock, Cap. 192 (S. 201f.):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„Von Freissam / Dreifaltigkeyt. ... Wann nun einer dise Violam auch jouis florem / Jouis flammam (Griechisch Diosanthos) nennet / mit dem wolt ich nicht streitten / weitters wolt ich dise blumen gern das Jesemin Serapionis lassen sein. cap clxxvi. von welcher blumen Diosc. lib. i. cap. lxviii. ein salben lehret machen genannt Jasmini. ... Freissam wasser soll gut sein den jungen Kindern / wann sie hitzig seind / vnd Bauch kranck werden / den soll man jederweilen von disem gebranten wasser zu trincken geben / ist jetzund im brauch bey den Weibern.  Das gebrant wasser soll der schwerenden Lungen gut sein / vnd die brust raumen / stäts getruncken vnd den wein darmit gemischt.“</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„Euphrasia, Augentrost.“ - Lonicer, Cap. 87 (S. 246): „Augentrost / Euphrasia ... dieweil es den Augen gut und heilsam ist ...zun hitzigen und tunckeln Augen ... stärcket das Gesicht ... Dieses Kraut gestossen / und der Safft auf die Augen gestrichen / macht sie klar und sch”n.“</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„Scorzonera. Schlangen-Kraut.“ - Lonicer, Cap. 415 (S. 562): „Spanisch Schlangenkraut / Scorzonera ... hat den Namen / dieweil es wider das Gifft der Schlangen ein fürtreffliche Artzney ist ... wider gifftige Kranckheiten zusampt der Pestilentz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proofErr w:type="gramStart"/>
      <w:r>
        <w:rPr>
          <w:rFonts w:ascii="Times New Roman" w:eastAsia="MS Mincho" w:hAnsi="Times New Roman" w:cs="Times New Roman"/>
          <w:sz w:val="24"/>
          <w:lang w:val="en-GB"/>
        </w:rPr>
        <w:t>„Virga aurea.</w:t>
      </w:r>
      <w:proofErr w:type="gramEnd"/>
      <w:r>
        <w:rPr>
          <w:rFonts w:ascii="Times New Roman" w:eastAsia="MS Mincho" w:hAnsi="Times New Roman" w:cs="Times New Roman"/>
          <w:sz w:val="24"/>
          <w:lang w:val="en-GB"/>
        </w:rPr>
        <w:t xml:space="preserve"> Guldin-Rueth</w:t>
      </w:r>
      <w:proofErr w:type="gramStart"/>
      <w:r>
        <w:rPr>
          <w:rFonts w:ascii="Times New Roman" w:eastAsia="MS Mincho" w:hAnsi="Times New Roman" w:cs="Times New Roman"/>
          <w:sz w:val="24"/>
          <w:lang w:val="en-GB"/>
        </w:rPr>
        <w:t>.“</w:t>
      </w:r>
      <w:proofErr w:type="gramEnd"/>
      <w:r>
        <w:rPr>
          <w:rFonts w:ascii="Times New Roman" w:eastAsia="MS Mincho" w:hAnsi="Times New Roman" w:cs="Times New Roman"/>
          <w:sz w:val="24"/>
          <w:lang w:val="en-GB"/>
        </w:rPr>
        <w:t xml:space="preserve"> - Bock? </w:t>
      </w:r>
      <w:r w:rsidRPr="00033488">
        <w:rPr>
          <w:rFonts w:ascii="Times New Roman" w:eastAsia="MS Mincho" w:hAnsi="Times New Roman" w:cs="Times New Roman"/>
          <w:sz w:val="24"/>
          <w:lang w:val="en-US"/>
        </w:rPr>
        <w:t xml:space="preserve">*** Lonicer, Cap. 408 (S. 556): „Güldin Rute / Virga aurea ... </w:t>
      </w:r>
      <w:r>
        <w:rPr>
          <w:rFonts w:ascii="Times New Roman" w:eastAsia="MS Mincho" w:hAnsi="Times New Roman" w:cs="Times New Roman"/>
          <w:sz w:val="24"/>
        </w:rPr>
        <w:t>Die Wundärtzte brauchen dieses Kraut zu Wundträncken / zur Heilung der Wunden und Fisteln</w:t>
      </w:r>
      <w:proofErr w:type="gramStart"/>
      <w:r>
        <w:rPr>
          <w:rFonts w:ascii="Times New Roman" w:eastAsia="MS Mincho" w:hAnsi="Times New Roman" w:cs="Times New Roman"/>
          <w:sz w:val="24"/>
        </w:rPr>
        <w:t>.“</w:t>
      </w:r>
      <w:proofErr w:type="gramEnd"/>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17</w:t>
      </w:r>
      <w:r>
        <w:rPr>
          <w:rFonts w:ascii="Times New Roman" w:eastAsia="MS Mincho" w:hAnsi="Times New Roman" w:cs="Times New Roman"/>
          <w:sz w:val="24"/>
        </w:rPr>
        <w:tab/>
        <w:t xml:space="preserve">„Solis flos seu Heliotropium. Sonnenblum.“ - Dioscorides bei Bock***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„Malva, oder Käß-Papplen.“ - Plinius*** Lonicer (von Megerle nicht zitiert), Cap. 184 (S. 354f.): „Papplen / Malva ... auch Käßpappel ... gemein Pappel ... genennet ...Pappelsaft getruncken / behütet den Tag vor aller zufallenden Krankheit.“</w:t>
      </w:r>
    </w:p>
    <w:p w:rsidR="00033488" w:rsidRDefault="00033488" w:rsidP="00033488">
      <w:pPr>
        <w:pStyle w:val="NurText"/>
        <w:spacing w:line="360" w:lineRule="auto"/>
        <w:ind w:left="284" w:firstLine="284"/>
        <w:jc w:val="both"/>
        <w:rPr>
          <w:rFonts w:ascii="Times New Roman" w:eastAsia="MS Mincho" w:hAnsi="Times New Roman" w:cs="Times New Roman"/>
          <w:sz w:val="24"/>
        </w:rPr>
      </w:pPr>
      <w:proofErr w:type="gramStart"/>
      <w:r w:rsidRPr="00033488">
        <w:rPr>
          <w:rFonts w:ascii="Times New Roman" w:eastAsia="MS Mincho" w:hAnsi="Times New Roman" w:cs="Times New Roman"/>
          <w:sz w:val="24"/>
          <w:lang w:val="en-US"/>
        </w:rPr>
        <w:t>„Amaranthus.</w:t>
      </w:r>
      <w:proofErr w:type="gramEnd"/>
      <w:r w:rsidRPr="00033488">
        <w:rPr>
          <w:rFonts w:ascii="Times New Roman" w:eastAsia="MS Mincho" w:hAnsi="Times New Roman" w:cs="Times New Roman"/>
          <w:sz w:val="24"/>
          <w:lang w:val="en-US"/>
        </w:rPr>
        <w:t xml:space="preserve"> Tausentschön</w:t>
      </w:r>
      <w:proofErr w:type="gramStart"/>
      <w:r w:rsidRPr="00033488">
        <w:rPr>
          <w:rFonts w:ascii="Times New Roman" w:eastAsia="MS Mincho" w:hAnsi="Times New Roman" w:cs="Times New Roman"/>
          <w:sz w:val="24"/>
          <w:lang w:val="en-US"/>
        </w:rPr>
        <w:t>“ -</w:t>
      </w:r>
      <w:proofErr w:type="gramEnd"/>
      <w:r w:rsidRPr="00033488">
        <w:rPr>
          <w:rFonts w:ascii="Times New Roman" w:eastAsia="MS Mincho" w:hAnsi="Times New Roman" w:cs="Times New Roman"/>
          <w:sz w:val="24"/>
          <w:lang w:val="en-US"/>
        </w:rPr>
        <w:t xml:space="preserve"> Lonicer, Cap. 89 (S. 247f.): „Floramor / Amaranthus purpureus ... oder Tausendschön vulgo Flos amoris, Ital. Flor d'amor ... </w:t>
      </w:r>
      <w:r>
        <w:rPr>
          <w:rFonts w:ascii="Times New Roman" w:eastAsia="MS Mincho" w:hAnsi="Times New Roman" w:cs="Times New Roman"/>
          <w:sz w:val="24"/>
        </w:rPr>
        <w:t xml:space="preserve">Dieses Kraut gesotten / </w:t>
      </w:r>
      <w:r>
        <w:rPr>
          <w:rFonts w:ascii="Times New Roman" w:eastAsia="MS Mincho" w:hAnsi="Times New Roman" w:cs="Times New Roman"/>
          <w:sz w:val="24"/>
        </w:rPr>
        <w:lastRenderedPageBreak/>
        <w:t xml:space="preserve">und auf die zerknirschte Glieder gelegt / nimmt das gelieffert Blut / und heilet sehr geschwind ... es saubert die unreine Mutter ...“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„Rosa. Die Rosen.“ - Bock (von Megerle nicht zitiert), fol. </w:t>
      </w:r>
      <w:proofErr w:type="gramStart"/>
      <w:r>
        <w:rPr>
          <w:rFonts w:ascii="Times New Roman" w:eastAsia="MS Mincho" w:hAnsi="Times New Roman" w:cs="Times New Roman"/>
          <w:sz w:val="24"/>
        </w:rPr>
        <w:t>348rf.:</w:t>
      </w:r>
      <w:proofErr w:type="gramEnd"/>
      <w:r>
        <w:rPr>
          <w:rFonts w:ascii="Times New Roman" w:eastAsia="MS Mincho" w:hAnsi="Times New Roman" w:cs="Times New Roman"/>
          <w:sz w:val="24"/>
        </w:rPr>
        <w:t xml:space="preserve"> „Zam Garten Rosen ... Jederman weißt vast wie das Rosenwasser / Rosenzucker / Honig vnd Eßig von Rosen / sollen bereit vnd genützet werden. Dann inn hitzigen presten vnd Febern / ist Rosen wasser / </w:t>
      </w:r>
      <w:proofErr w:type="gramStart"/>
      <w:r>
        <w:rPr>
          <w:rFonts w:ascii="Times New Roman" w:eastAsia="MS Mincho" w:hAnsi="Times New Roman" w:cs="Times New Roman"/>
          <w:sz w:val="24"/>
        </w:rPr>
        <w:t>des selben</w:t>
      </w:r>
      <w:proofErr w:type="gramEnd"/>
      <w:r>
        <w:rPr>
          <w:rFonts w:ascii="Times New Roman" w:eastAsia="MS Mincho" w:hAnsi="Times New Roman" w:cs="Times New Roman"/>
          <w:sz w:val="24"/>
        </w:rPr>
        <w:t xml:space="preserve"> Zucker vnd Eßig / gemeinlich die erste Artzney / vnd billich / dann sie külen vnd stercken das Hertz vnd Hirn / wie das die erfahrung genugsam beweiset.“</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„Iris Germanica, Viol: oder Schwerdtblum“ - Dioscurides I,1 über Bock (von Megerle nicht zitiert), Cap. 51 (S. 251rf.): „Von Himmel Schwertel / oder Violwurcz ... ein heilsame wurtzel zu allerley schäden / gepüluert vnd darein gesäet / reiniget die wunden ...“ und Lonicer (von Megerle nicht zitiert), Cap. 379 (S. 533f.):</w:t>
      </w:r>
    </w:p>
    <w:p w:rsidR="00033488" w:rsidRDefault="00033488" w:rsidP="00033488">
      <w:pPr>
        <w:pStyle w:val="NurText"/>
        <w:ind w:left="567"/>
        <w:jc w:val="both"/>
        <w:rPr>
          <w:rFonts w:ascii="Times New Roman" w:eastAsia="MS Mincho" w:hAnsi="Times New Roman" w:cs="Times New Roman"/>
          <w:sz w:val="24"/>
        </w:rPr>
      </w:pPr>
      <w:r>
        <w:rPr>
          <w:rFonts w:ascii="Times New Roman" w:eastAsia="MS Mincho" w:hAnsi="Times New Roman" w:cs="Times New Roman"/>
          <w:sz w:val="24"/>
        </w:rPr>
        <w:t>„Blau Schwertel / oder Violwurtz / Iris ... Himmelschwertel ... Lat. ... Lilium caeleste ... wie ein Regenbogen am Himmel ...ander Geschlecht der Violwurtz / welches Dioscurides insonderheit Iridem Illyricam nennet ... Ist ein heylsame Wurtzel zu allen Schäden ... Blau Lilienwasser. Die beste Zeit ihrer Einsammlung und Destillierung / ist am Ende deß Mayen / wann sie vollkommen zeitig seyn / in Balneo Mariae gebrannt / allein die Blume.“</w:t>
      </w:r>
    </w:p>
    <w:p w:rsidR="00033488" w:rsidRDefault="00033488" w:rsidP="00033488">
      <w:pPr>
        <w:pStyle w:val="NurText"/>
        <w:ind w:left="567"/>
        <w:jc w:val="both"/>
        <w:rPr>
          <w:rFonts w:ascii="Times New Roman" w:eastAsia="MS Mincho" w:hAnsi="Times New Roman" w:cs="Times New Roman"/>
          <w:sz w:val="24"/>
        </w:rPr>
      </w:pPr>
    </w:p>
    <w:p w:rsidR="00033488" w:rsidRPr="00033488" w:rsidRDefault="00033488" w:rsidP="00033488">
      <w:pPr>
        <w:pStyle w:val="NurText"/>
        <w:spacing w:line="360" w:lineRule="auto"/>
        <w:ind w:left="284"/>
        <w:jc w:val="both"/>
        <w:rPr>
          <w:rFonts w:ascii="Times New Roman" w:eastAsia="MS Mincho" w:hAnsi="Times New Roman" w:cs="Times New Roman"/>
          <w:sz w:val="24"/>
          <w:lang w:val="en-US"/>
        </w:rPr>
      </w:pPr>
      <w:r>
        <w:rPr>
          <w:rFonts w:ascii="Times New Roman" w:eastAsia="MS Mincho" w:hAnsi="Times New Roman" w:cs="Times New Roman"/>
          <w:sz w:val="24"/>
        </w:rPr>
        <w:t xml:space="preserve">Lonicers Verweise auf den Regenbogen, den Monat Mai und den chymischen Prozess des Marienbades (balneum Mariae = Lösung, Destillation) geht im Sinne Megerles bereits über den äußeren Nutzen hinaus und unterstreicht die traditionelle Mariensymbolik der Blume. </w:t>
      </w:r>
      <w:r w:rsidRPr="00033488">
        <w:rPr>
          <w:rFonts w:ascii="Times New Roman" w:eastAsia="MS Mincho" w:hAnsi="Times New Roman" w:cs="Times New Roman"/>
          <w:sz w:val="24"/>
          <w:lang w:val="en-US"/>
        </w:rPr>
        <w:t>Vgl. auch Bock, S. 201.</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sidRPr="00033488">
        <w:rPr>
          <w:rFonts w:ascii="Times New Roman" w:eastAsia="MS Mincho" w:hAnsi="Times New Roman" w:cs="Times New Roman"/>
          <w:sz w:val="24"/>
          <w:lang w:val="en-US"/>
        </w:rPr>
        <w:t>18</w:t>
      </w:r>
      <w:r w:rsidRPr="00033488">
        <w:rPr>
          <w:rFonts w:ascii="Times New Roman" w:eastAsia="MS Mincho" w:hAnsi="Times New Roman" w:cs="Times New Roman"/>
          <w:sz w:val="24"/>
          <w:lang w:val="en-US"/>
        </w:rPr>
        <w:tab/>
        <w:t xml:space="preserve"> „Aquilegia, oder Aggley</w:t>
      </w:r>
      <w:proofErr w:type="gramStart"/>
      <w:r w:rsidRPr="00033488">
        <w:rPr>
          <w:rFonts w:ascii="Times New Roman" w:eastAsia="MS Mincho" w:hAnsi="Times New Roman" w:cs="Times New Roman"/>
          <w:sz w:val="24"/>
          <w:lang w:val="en-US"/>
        </w:rPr>
        <w:t>.“</w:t>
      </w:r>
      <w:proofErr w:type="gramEnd"/>
      <w:r w:rsidRPr="00033488">
        <w:rPr>
          <w:rFonts w:ascii="Times New Roman" w:eastAsia="MS Mincho" w:hAnsi="Times New Roman" w:cs="Times New Roman"/>
          <w:sz w:val="24"/>
          <w:lang w:val="en-US"/>
        </w:rPr>
        <w:t xml:space="preserve"> - Lonicer, Cap. 59 (S.216): „Ackeley /Aquilegia ... </w:t>
      </w:r>
      <w:r>
        <w:rPr>
          <w:rFonts w:ascii="Times New Roman" w:eastAsia="MS Mincho" w:hAnsi="Times New Roman" w:cs="Times New Roman"/>
          <w:sz w:val="24"/>
        </w:rPr>
        <w:t>Sein Geruch ist scharff / und seine Tugend durchtringet und verzehret alle harte Geschwer</w:t>
      </w:r>
      <w:proofErr w:type="gramStart"/>
      <w:r>
        <w:rPr>
          <w:rFonts w:ascii="Times New Roman" w:eastAsia="MS Mincho" w:hAnsi="Times New Roman" w:cs="Times New Roman"/>
          <w:sz w:val="24"/>
        </w:rPr>
        <w:t>.“</w:t>
      </w:r>
      <w:proofErr w:type="gramEnd"/>
      <w:r>
        <w:rPr>
          <w:rFonts w:ascii="Times New Roman" w:eastAsia="MS Mincho" w:hAnsi="Times New Roman" w:cs="Times New Roman"/>
          <w:sz w:val="24"/>
        </w:rPr>
        <w:t xml:space="preserve"> </w:t>
      </w:r>
    </w:p>
    <w:p w:rsidR="00033488" w:rsidRDefault="00033488" w:rsidP="00033488">
      <w:pPr>
        <w:pStyle w:val="NurText"/>
        <w:spacing w:line="360" w:lineRule="auto"/>
        <w:ind w:left="284"/>
        <w:jc w:val="both"/>
        <w:rPr>
          <w:rFonts w:ascii="Times New Roman" w:eastAsia="MS Mincho" w:hAnsi="Times New Roman" w:cs="Times New Roman"/>
          <w:sz w:val="24"/>
        </w:rPr>
      </w:pPr>
      <w:r>
        <w:rPr>
          <w:rFonts w:ascii="Times New Roman" w:eastAsia="MS Mincho" w:hAnsi="Times New Roman" w:cs="Times New Roman"/>
          <w:sz w:val="24"/>
        </w:rPr>
        <w:t xml:space="preserve">„Turris fortissima ...“, Prv 18,10 (nicht „c. 10“).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20</w:t>
      </w:r>
      <w:r>
        <w:rPr>
          <w:rFonts w:ascii="Times New Roman" w:eastAsia="MS Mincho" w:hAnsi="Times New Roman" w:cs="Times New Roman"/>
          <w:sz w:val="24"/>
        </w:rPr>
        <w:tab/>
        <w:t xml:space="preserve">Claudio Merulo (nicht etwa Tarquinio Merula), geboren am 8.4.1533 in Correggio, gestorben am 5.5.1604 in Parma, seit 1557 Organist an San Marco in Venedig, seit 1586 im Dienst des Herzogs von Parma, wurde vom Herzog Ranuccio Farnese mit dem Titel eines Cavaliere ausgezeichnet. Nach seinem Tod erschienen einige Werkausgaben mit einem gestochenen Porträt mit Lorbeerkranz. Vgl. Luigi Ferdinando Tagliavini, „Merulo“, Art. in MGG (alt)  IX,139-143, ebd. auch Tafel 7 (nach Sp. 128) das Porträt. Die antike Tradition des poeta laureatus wurde seit der Renaissance, in Anlehnung an lorbeerbekränzte mythische Musiker (Apollon, Orpheus, Linos), gelegentlich auch auf Komponisten übertragen. - Zum Anspruch Megerles auf den Lorbeer s. auch </w:t>
      </w:r>
      <w:r>
        <w:rPr>
          <w:rFonts w:ascii="Times New Roman" w:eastAsia="MS Mincho" w:hAnsi="Times New Roman" w:cs="Times New Roman"/>
          <w:i/>
          <w:iCs/>
          <w:sz w:val="24"/>
        </w:rPr>
        <w:t>Speculum</w:t>
      </w:r>
      <w:r>
        <w:rPr>
          <w:rFonts w:ascii="Times New Roman" w:eastAsia="MS Mincho" w:hAnsi="Times New Roman" w:cs="Times New Roman"/>
          <w:sz w:val="24"/>
        </w:rPr>
        <w:t xml:space="preserve">, S. 28f. sowie das Titelblatt, wo ein Lorbeerkranz Megerles Wappen umgibt.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Bruderschaften, marianische Kongregationen und Sodalitäten erlangten durch die Gegenreformation im 17. Jahrhundert größte Verbreitung. An Bruderschaften in Alt- und </w:t>
      </w:r>
      <w:r>
        <w:rPr>
          <w:rFonts w:ascii="Times New Roman" w:eastAsia="MS Mincho" w:hAnsi="Times New Roman" w:cs="Times New Roman"/>
          <w:sz w:val="24"/>
        </w:rPr>
        <w:lastRenderedPageBreak/>
        <w:t xml:space="preserve">Neuötting sind zu Megerles Zeit bisher nachzuweisen die Bruderschaft Unser Lieben Frau, zum hl. Isidor, zum hl. Michael und zum hl. Sebastian; s. Josef Krettner, </w:t>
      </w:r>
      <w:r>
        <w:rPr>
          <w:rFonts w:ascii="Times New Roman" w:eastAsia="MS Mincho" w:hAnsi="Times New Roman" w:cs="Times New Roman"/>
          <w:i/>
          <w:iCs/>
          <w:sz w:val="24"/>
        </w:rPr>
        <w:t>Erster Katalog von Bruderschaften in</w:t>
      </w:r>
      <w:r>
        <w:rPr>
          <w:rFonts w:ascii="Times New Roman" w:eastAsia="MS Mincho" w:hAnsi="Times New Roman" w:cs="Times New Roman"/>
          <w:sz w:val="24"/>
        </w:rPr>
        <w:t xml:space="preserve"> </w:t>
      </w:r>
      <w:r>
        <w:rPr>
          <w:rFonts w:ascii="Times New Roman" w:eastAsia="MS Mincho" w:hAnsi="Times New Roman" w:cs="Times New Roman"/>
          <w:i/>
          <w:iCs/>
          <w:sz w:val="24"/>
        </w:rPr>
        <w:t>Bayern</w:t>
      </w:r>
      <w:r>
        <w:rPr>
          <w:rFonts w:ascii="Times New Roman" w:eastAsia="MS Mincho" w:hAnsi="Times New Roman" w:cs="Times New Roman"/>
          <w:sz w:val="24"/>
        </w:rPr>
        <w:t xml:space="preserve">, München/Würzburg 1980, S. 113, 156, 162, 168. (Im </w:t>
      </w:r>
      <w:r>
        <w:rPr>
          <w:rFonts w:ascii="Times New Roman" w:eastAsia="MS Mincho" w:hAnsi="Times New Roman" w:cs="Times New Roman"/>
          <w:i/>
          <w:iCs/>
          <w:sz w:val="24"/>
        </w:rPr>
        <w:t>Beylag</w:t>
      </w:r>
      <w:r>
        <w:rPr>
          <w:rFonts w:ascii="Times New Roman" w:eastAsia="MS Mincho" w:hAnsi="Times New Roman" w:cs="Times New Roman"/>
          <w:sz w:val="24"/>
        </w:rPr>
        <w:t xml:space="preserve"> (10. S.) verfügt Megerle: „Welcher dz herz nach Zofingen tragt solt auch das silberne St. Sebastian Bruderschafft Creuz mit nehmen von mir“. Auch vermacht er (31f. S.) ein Gemälde mit dem hl. Sebastian „mit einer Musicalischen schrift umbgeben, zu ehren der Bruderschafft S. Sebastiani“.) Die im </w:t>
      </w:r>
      <w:r>
        <w:rPr>
          <w:rFonts w:ascii="Times New Roman" w:eastAsia="MS Mincho" w:hAnsi="Times New Roman" w:cs="Times New Roman"/>
          <w:i/>
          <w:iCs/>
          <w:sz w:val="24"/>
        </w:rPr>
        <w:t xml:space="preserve">Speculum </w:t>
      </w:r>
      <w:r>
        <w:rPr>
          <w:rFonts w:ascii="Times New Roman" w:eastAsia="MS Mincho" w:hAnsi="Times New Roman" w:cs="Times New Roman"/>
          <w:sz w:val="24"/>
        </w:rPr>
        <w:t>erwähnte „Stund Bruderschafft“ ist eine Sterbe- oder Totenbruderschaft. Die über dem Altar hängenden (drei) Skapuliere und der Gürtel deuten auf Skapulier- und Gürtelbruderschaft hin. Skapuliere in Form von zwei viereckigen Wollstücken, die an einem Band über die Schultern bis zur Brust herabhängend getragen wurden, waren als Bruderschaftsabzeichen allgemein beliebt. Das schwarze Skapulier von den sieben Schmerzen Mariens war seit 1255 Abzeichen der Serviten; zumindest zu deren weiblichem Zweig hatte Megerle seit seiner Innsbrucker Zeit eine besondere Beziehung. In diesem Zusammenhang könnte auch das Band links zu sehen sein und, wie das „Vmbgewundene Armbketl“ im ersten Totenkopfbild, „vnser L. Frawen Mancipat, oder Leibeigenschafft / mit welchem der Mensch verpflicht/ vnd verbunden war“ andeuten. (</w:t>
      </w:r>
      <w:r>
        <w:rPr>
          <w:rFonts w:ascii="Times New Roman" w:eastAsia="MS Mincho" w:hAnsi="Times New Roman" w:cs="Times New Roman"/>
          <w:i/>
          <w:iCs/>
          <w:sz w:val="24"/>
        </w:rPr>
        <w:t>Speculum</w:t>
      </w:r>
      <w:r>
        <w:rPr>
          <w:rFonts w:ascii="Times New Roman" w:eastAsia="MS Mincho" w:hAnsi="Times New Roman" w:cs="Times New Roman"/>
          <w:sz w:val="24"/>
        </w:rPr>
        <w:t>, S. 19) Megerle wird sicher auch einer (von Jesuiten geleiteten) marianischen Kongregation angehört haben.</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Der Kanon mit dem soggetto cavato auf der „Todtenfahn“ (s. </w:t>
      </w:r>
      <w:r>
        <w:rPr>
          <w:rFonts w:ascii="Times New Roman" w:eastAsia="MS Mincho" w:hAnsi="Times New Roman" w:cs="Times New Roman"/>
          <w:i/>
          <w:iCs/>
          <w:sz w:val="24"/>
        </w:rPr>
        <w:t>Speculum</w:t>
      </w:r>
      <w:r>
        <w:rPr>
          <w:rFonts w:ascii="Times New Roman" w:eastAsia="MS Mincho" w:hAnsi="Times New Roman" w:cs="Times New Roman"/>
          <w:sz w:val="24"/>
        </w:rPr>
        <w:t>, S. 33) ist aufgelöst:</w:t>
      </w: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left="284" w:firstLine="284"/>
        <w:jc w:val="both"/>
        <w:rPr>
          <w:rFonts w:ascii="Times New Roman" w:eastAsia="MS Mincho" w:hAnsi="Times New Roman" w:cs="Times New Roman"/>
          <w:sz w:val="24"/>
        </w:rPr>
      </w:pP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Der Text entspricht (nicht etwa dem 50. Psalm „Miserere mei Deus“, wie er im Officium Defunctorum ad Laudes gesungen wird, sondern) Jb 19,21, wo Hiob seine Freunde um Fürsprache bei Gott bittet: „Miseremini mei, miseremini mei, saltem vos amici mei, quia manus Domini tetigit me.“ Diese Stelle begegnet im Officium Defunctorum ad Matutinum in der Lectio VIII. Eine weitere „erleuterung“ dazu (</w:t>
      </w:r>
      <w:r>
        <w:rPr>
          <w:rFonts w:ascii="Times New Roman" w:eastAsia="MS Mincho" w:hAnsi="Times New Roman" w:cs="Times New Roman"/>
          <w:i/>
          <w:iCs/>
          <w:sz w:val="24"/>
        </w:rPr>
        <w:t>Speculum</w:t>
      </w:r>
      <w:r>
        <w:rPr>
          <w:rFonts w:ascii="Times New Roman" w:eastAsia="MS Mincho" w:hAnsi="Times New Roman" w:cs="Times New Roman"/>
          <w:sz w:val="24"/>
        </w:rPr>
        <w:t xml:space="preserve"> S. 21) ist nicht überliefert. Megerle bekundet seine Neigung zu derartigen Arcana Musica im </w:t>
      </w:r>
      <w:r>
        <w:rPr>
          <w:rFonts w:ascii="Times New Roman" w:eastAsia="MS Mincho" w:hAnsi="Times New Roman" w:cs="Times New Roman"/>
          <w:i/>
          <w:iCs/>
          <w:sz w:val="24"/>
        </w:rPr>
        <w:t>Speculum</w:t>
      </w:r>
      <w:r>
        <w:rPr>
          <w:rFonts w:ascii="Times New Roman" w:eastAsia="MS Mincho" w:hAnsi="Times New Roman" w:cs="Times New Roman"/>
          <w:sz w:val="24"/>
        </w:rPr>
        <w:t xml:space="preserve"> auch S. 22; vgl. auch den Canon quatuor vocum: </w:t>
      </w:r>
      <w:r>
        <w:rPr>
          <w:rFonts w:ascii="Times New Roman" w:eastAsia="MS Mincho" w:hAnsi="Times New Roman" w:cs="Times New Roman"/>
          <w:i/>
          <w:iCs/>
          <w:sz w:val="24"/>
        </w:rPr>
        <w:t>Amor reciprocus Dei et D. Francisci</w:t>
      </w:r>
      <w:r>
        <w:rPr>
          <w:rFonts w:ascii="Times New Roman" w:eastAsia="MS Mincho" w:hAnsi="Times New Roman" w:cs="Times New Roman"/>
          <w:sz w:val="24"/>
        </w:rPr>
        <w:t xml:space="preserve">, veröffentlicht in: A. Megerle, </w:t>
      </w:r>
      <w:r>
        <w:rPr>
          <w:rFonts w:ascii="Times New Roman" w:eastAsia="MS Mincho" w:hAnsi="Times New Roman" w:cs="Times New Roman"/>
          <w:i/>
          <w:iCs/>
          <w:sz w:val="24"/>
        </w:rPr>
        <w:t>Geistliche Werke</w:t>
      </w:r>
      <w:r>
        <w:rPr>
          <w:rFonts w:ascii="Times New Roman" w:eastAsia="MS Mincho" w:hAnsi="Times New Roman" w:cs="Times New Roman"/>
          <w:sz w:val="24"/>
        </w:rPr>
        <w:t xml:space="preserve">. - Eine Solmisationsallegorese auf das Wort „Miserere“ begegnet in einer </w:t>
      </w:r>
      <w:r>
        <w:rPr>
          <w:rFonts w:ascii="Times New Roman" w:eastAsia="MS Mincho" w:hAnsi="Times New Roman" w:cs="Times New Roman"/>
          <w:sz w:val="24"/>
        </w:rPr>
        <w:lastRenderedPageBreak/>
        <w:t xml:space="preserve">Totenbruderschaftspredigt Abrahams a Sancta Clara (in: </w:t>
      </w:r>
      <w:r>
        <w:rPr>
          <w:rFonts w:ascii="Times New Roman" w:eastAsia="MS Mincho" w:hAnsi="Times New Roman" w:cs="Times New Roman"/>
          <w:i/>
          <w:iCs/>
          <w:sz w:val="24"/>
        </w:rPr>
        <w:t>Neue Predigten</w:t>
      </w:r>
      <w:r>
        <w:rPr>
          <w:rFonts w:ascii="Times New Roman" w:eastAsia="MS Mincho" w:hAnsi="Times New Roman" w:cs="Times New Roman"/>
          <w:sz w:val="24"/>
        </w:rPr>
        <w:t>,</w:t>
      </w:r>
      <w:r>
        <w:rPr>
          <w:rFonts w:ascii="Times New Roman" w:eastAsia="MS Mincho" w:hAnsi="Times New Roman" w:cs="Times New Roman"/>
          <w:i/>
          <w:iCs/>
          <w:sz w:val="24"/>
        </w:rPr>
        <w:t xml:space="preserve"> </w:t>
      </w:r>
      <w:r>
        <w:rPr>
          <w:rFonts w:ascii="Times New Roman" w:eastAsia="MS Mincho" w:hAnsi="Times New Roman" w:cs="Times New Roman"/>
          <w:sz w:val="24"/>
        </w:rPr>
        <w:t xml:space="preserve">wie Anm. 149, S. </w:t>
      </w:r>
      <w:proofErr w:type="gramStart"/>
      <w:r>
        <w:rPr>
          <w:rFonts w:ascii="Times New Roman" w:eastAsia="MS Mincho" w:hAnsi="Times New Roman" w:cs="Times New Roman"/>
          <w:sz w:val="24"/>
        </w:rPr>
        <w:t>24ff.,</w:t>
      </w:r>
      <w:proofErr w:type="gramEnd"/>
      <w:r>
        <w:rPr>
          <w:rFonts w:ascii="Times New Roman" w:eastAsia="MS Mincho" w:hAnsi="Times New Roman" w:cs="Times New Roman"/>
          <w:sz w:val="24"/>
        </w:rPr>
        <w:t xml:space="preserve"> 31ff.)</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Cartel, frz. &gt; lat. carta = Papier, Schrift. Im Ad pulpitum von P. Romanus Myller (s.o., S. ***) heißt es in der sechsten Strophe von den Komponisten: „Die Händ sein voll cartellen“.</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 wie es dz Missale vnd Rituale mit allen jhren Tonis vnd Responsorijs vorschreibt.“ - Megerle legt auch sonst großen Wert auf die Beachtung liturgischer, insbesondere römischer Vorschriften; vgl. z.B. Titel und Widmungsrede seiner </w:t>
      </w:r>
      <w:r>
        <w:rPr>
          <w:rFonts w:ascii="Times New Roman" w:eastAsia="MS Mincho" w:hAnsi="Times New Roman" w:cs="Times New Roman"/>
          <w:i/>
          <w:iCs/>
          <w:sz w:val="24"/>
        </w:rPr>
        <w:t>Ara musica</w:t>
      </w:r>
      <w:r>
        <w:rPr>
          <w:rFonts w:ascii="Times New Roman" w:eastAsia="MS Mincho" w:hAnsi="Times New Roman" w:cs="Times New Roman"/>
          <w:sz w:val="24"/>
        </w:rPr>
        <w:t>.</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22</w:t>
      </w:r>
      <w:r>
        <w:rPr>
          <w:rFonts w:ascii="Times New Roman" w:eastAsia="MS Mincho" w:hAnsi="Times New Roman" w:cs="Times New Roman"/>
          <w:sz w:val="24"/>
        </w:rPr>
        <w:tab/>
        <w:t xml:space="preserve">„Das letzte / so mein Kennspruch hat ...“ - Megerle meint hier nicht das 13., sondern das 12. Bild (S. 45), in dem sein Wahlspruch um sein Wappen geschrieben ist: „Notas mihi fecisti vias vitae et replebis me ivcvnditate cvm facie tva.“ Die Worte sind der Pfingstpredigt Petri entnommen (Act 2,28), der damit seinerseits auf den Psalmensänger David zurückgreift (Ps 15,11). Im Zusammenhang der Predigt wird ihr Bezug auf Tod und Auferstehung deutlich: „Du gibst meine Seele nicht der Hölle preis, lässt deinen Heiligen nicht schauen die Verwesung. Du hast mir </w:t>
      </w:r>
      <w:proofErr w:type="gramStart"/>
      <w:r>
        <w:rPr>
          <w:rFonts w:ascii="Times New Roman" w:eastAsia="MS Mincho" w:hAnsi="Times New Roman" w:cs="Times New Roman"/>
          <w:sz w:val="24"/>
        </w:rPr>
        <w:t>kund getan</w:t>
      </w:r>
      <w:proofErr w:type="gramEnd"/>
      <w:r>
        <w:rPr>
          <w:rFonts w:ascii="Times New Roman" w:eastAsia="MS Mincho" w:hAnsi="Times New Roman" w:cs="Times New Roman"/>
          <w:sz w:val="24"/>
        </w:rPr>
        <w:t xml:space="preserve"> die Wege des Lebens, wirst mich erfüllen mit Freuden vor deinem Angesicht.“ Bertsche bemerkt, dass Megerle im Blick auf seine musikalischen Werke die erste Hälfte des Wahlspruchs sicher auch anders „übersetzt“ bzw. ausgedeutet hat: „Zu Wegweisern auf meinem Lebenspfad hast du, o Gott, mir die Noten gemacht.“; </w:t>
      </w:r>
      <w:r>
        <w:rPr>
          <w:rFonts w:ascii="Times New Roman" w:eastAsia="MS Mincho" w:hAnsi="Times New Roman" w:cs="Times New Roman"/>
          <w:i/>
          <w:iCs/>
          <w:sz w:val="24"/>
        </w:rPr>
        <w:t xml:space="preserve">Werke von Abraham a Sancta Clara </w:t>
      </w:r>
      <w:r>
        <w:rPr>
          <w:rFonts w:ascii="Times New Roman" w:eastAsia="MS Mincho" w:hAnsi="Times New Roman" w:cs="Times New Roman"/>
          <w:sz w:val="24"/>
        </w:rPr>
        <w:t>(wie Anm.4), III</w:t>
      </w:r>
      <w:proofErr w:type="gramStart"/>
      <w:r>
        <w:rPr>
          <w:rFonts w:ascii="Times New Roman" w:eastAsia="MS Mincho" w:hAnsi="Times New Roman" w:cs="Times New Roman"/>
          <w:sz w:val="24"/>
        </w:rPr>
        <w:t>,454f</w:t>
      </w:r>
      <w:proofErr w:type="gramEnd"/>
      <w:r>
        <w:rPr>
          <w:rFonts w:ascii="Times New Roman" w:eastAsia="MS Mincho" w:hAnsi="Times New Roman" w:cs="Times New Roman"/>
          <w:sz w:val="24"/>
        </w:rPr>
        <w:t xml:space="preserve">.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„biß in die 2000 stuck“ - Im </w:t>
      </w:r>
      <w:r>
        <w:rPr>
          <w:rFonts w:ascii="Times New Roman" w:eastAsia="MS Mincho" w:hAnsi="Times New Roman" w:cs="Times New Roman"/>
          <w:i/>
          <w:iCs/>
          <w:sz w:val="24"/>
        </w:rPr>
        <w:t>Beylag zu meinem Testament</w:t>
      </w:r>
      <w:r>
        <w:rPr>
          <w:rFonts w:ascii="Times New Roman" w:eastAsia="MS Mincho" w:hAnsi="Times New Roman" w:cs="Times New Roman"/>
          <w:sz w:val="24"/>
        </w:rPr>
        <w:t xml:space="preserve"> (12.-14. S.) verfügt Megerle genauer, dass man seine „Khirchengsänger, deren 1486 dem stifft und heyl. Capellen abzucopiren geben solt“. Dabei sind wiederum nicht gerechnet „die partituren, noch auch die schlagsachen, noch auch vil weniger die Arcana musica“. Der Wert dieser Werke sei „von Unpartheiischen vnd wohl erfahrnen Musicis und Componisten, weit yber 1000 fl. geschezt“ worden.</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Die beiden Bilder sind im Kloster Zoffingen zu Konstanz erhalten.</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23</w:t>
      </w:r>
      <w:r>
        <w:rPr>
          <w:rFonts w:ascii="Times New Roman" w:eastAsia="MS Mincho" w:hAnsi="Times New Roman" w:cs="Times New Roman"/>
          <w:sz w:val="24"/>
        </w:rPr>
        <w:tab/>
        <w:t xml:space="preserve">Gedicht und Gebet nehmen mit der Dreiheit von Glaube, Hoffnung und Liebe Bezug auf 1Cor 13,13. </w:t>
      </w:r>
    </w:p>
    <w:p w:rsidR="00033488" w:rsidRDefault="00033488" w:rsidP="00033488">
      <w:pPr>
        <w:pStyle w:val="NurText"/>
        <w:spacing w:line="360" w:lineRule="auto"/>
        <w:ind w:left="284" w:hanging="284"/>
        <w:jc w:val="both"/>
        <w:rPr>
          <w:rFonts w:ascii="Times New Roman" w:eastAsia="MS Mincho" w:hAnsi="Times New Roman" w:cs="Times New Roman"/>
          <w:sz w:val="24"/>
          <w:lang w:val="fr-FR"/>
        </w:rPr>
      </w:pPr>
      <w:r>
        <w:rPr>
          <w:rFonts w:ascii="Times New Roman" w:eastAsia="MS Mincho" w:hAnsi="Times New Roman" w:cs="Times New Roman"/>
          <w:sz w:val="24"/>
          <w:lang w:val="fr-FR"/>
        </w:rPr>
        <w:t>24</w:t>
      </w:r>
      <w:r>
        <w:rPr>
          <w:rFonts w:ascii="Times New Roman" w:eastAsia="MS Mincho" w:hAnsi="Times New Roman" w:cs="Times New Roman"/>
          <w:sz w:val="24"/>
          <w:lang w:val="fr-FR"/>
        </w:rPr>
        <w:tab/>
        <w:t>„Domine Jesu Christe suscipe spiritum meum</w:t>
      </w:r>
      <w:proofErr w:type="gramStart"/>
      <w:r>
        <w:rPr>
          <w:rFonts w:ascii="Times New Roman" w:eastAsia="MS Mincho" w:hAnsi="Times New Roman" w:cs="Times New Roman"/>
          <w:sz w:val="24"/>
          <w:lang w:val="fr-FR"/>
        </w:rPr>
        <w:t>.“</w:t>
      </w:r>
      <w:proofErr w:type="gramEnd"/>
      <w:r>
        <w:rPr>
          <w:rFonts w:ascii="Times New Roman" w:eastAsia="MS Mincho" w:hAnsi="Times New Roman" w:cs="Times New Roman"/>
          <w:sz w:val="24"/>
          <w:lang w:val="fr-FR"/>
        </w:rPr>
        <w:t xml:space="preserve"> und „Tu me ab hoste protege &amp; hora mortis suscipe“ - </w:t>
      </w:r>
      <w:r>
        <w:rPr>
          <w:rFonts w:ascii="Times New Roman" w:eastAsia="MS Mincho" w:hAnsi="Times New Roman" w:cs="Times New Roman"/>
          <w:i/>
          <w:iCs/>
          <w:sz w:val="24"/>
          <w:lang w:val="fr-FR"/>
        </w:rPr>
        <w:t>Rituale Romanum</w:t>
      </w:r>
      <w:r>
        <w:rPr>
          <w:rFonts w:ascii="Times New Roman" w:eastAsia="MS Mincho" w:hAnsi="Times New Roman" w:cs="Times New Roman"/>
          <w:sz w:val="24"/>
          <w:lang w:val="fr-FR"/>
        </w:rPr>
        <w:t xml:space="preserve">, De exspiratione (Bei Aushauchung des Lebens): „In manus tuas Domine, commendo spiritum meum. Domine Jesu Christe, suscipe spiritum meum. </w:t>
      </w:r>
      <w:r>
        <w:rPr>
          <w:rFonts w:ascii="Times New Roman" w:eastAsia="MS Mincho" w:hAnsi="Times New Roman" w:cs="Times New Roman"/>
          <w:sz w:val="24"/>
          <w:lang w:val="it-IT"/>
        </w:rPr>
        <w:t xml:space="preserve">Sancta Maria, ora pro me. </w:t>
      </w:r>
      <w:r>
        <w:rPr>
          <w:rFonts w:ascii="Times New Roman" w:eastAsia="MS Mincho" w:hAnsi="Times New Roman" w:cs="Times New Roman"/>
          <w:sz w:val="24"/>
          <w:lang w:val="fr-FR"/>
        </w:rPr>
        <w:t>Maria, mater gratiae, mater misericordiae, tu me ab hoste protege, et hora mortis suscipe</w:t>
      </w:r>
      <w:proofErr w:type="gramStart"/>
      <w:r>
        <w:rPr>
          <w:rFonts w:ascii="Times New Roman" w:eastAsia="MS Mincho" w:hAnsi="Times New Roman" w:cs="Times New Roman"/>
          <w:sz w:val="24"/>
          <w:lang w:val="fr-FR"/>
        </w:rPr>
        <w:t>.“</w:t>
      </w:r>
      <w:proofErr w:type="gramEnd"/>
      <w:r>
        <w:rPr>
          <w:rFonts w:ascii="Times New Roman" w:eastAsia="MS Mincho" w:hAnsi="Times New Roman" w:cs="Times New Roman"/>
          <w:sz w:val="24"/>
          <w:lang w:val="fr-FR"/>
        </w:rPr>
        <w:t xml:space="preserve"> </w:t>
      </w:r>
    </w:p>
    <w:p w:rsidR="00033488" w:rsidRDefault="00033488" w:rsidP="00033488">
      <w:pPr>
        <w:pStyle w:val="NurText"/>
        <w:spacing w:line="360" w:lineRule="auto"/>
        <w:ind w:left="284"/>
        <w:jc w:val="both"/>
        <w:rPr>
          <w:rFonts w:ascii="Times New Roman" w:eastAsia="MS Mincho" w:hAnsi="Times New Roman" w:cs="Times New Roman"/>
          <w:sz w:val="24"/>
          <w:lang w:val="fr-FR"/>
        </w:rPr>
      </w:pPr>
      <w:r>
        <w:rPr>
          <w:rFonts w:ascii="Times New Roman" w:eastAsia="MS Mincho" w:hAnsi="Times New Roman" w:cs="Times New Roman"/>
          <w:sz w:val="24"/>
          <w:lang w:val="fr-FR"/>
        </w:rPr>
        <w:t>„Exaudi Domine Vocem fletus</w:t>
      </w:r>
      <w:proofErr w:type="gramStart"/>
      <w:r>
        <w:rPr>
          <w:rFonts w:ascii="Times New Roman" w:eastAsia="MS Mincho" w:hAnsi="Times New Roman" w:cs="Times New Roman"/>
          <w:sz w:val="24"/>
          <w:lang w:val="fr-FR"/>
        </w:rPr>
        <w:t>.“</w:t>
      </w:r>
      <w:proofErr w:type="gramEnd"/>
      <w:r>
        <w:rPr>
          <w:rFonts w:ascii="Times New Roman" w:eastAsia="MS Mincho" w:hAnsi="Times New Roman" w:cs="Times New Roman"/>
          <w:sz w:val="24"/>
          <w:lang w:val="fr-FR"/>
        </w:rPr>
        <w:t xml:space="preserve"> - Ps 6,9: „exaudivit Dominus vocem fletus mei“.</w:t>
      </w:r>
    </w:p>
    <w:p w:rsidR="00033488" w:rsidRDefault="00033488" w:rsidP="00033488">
      <w:pPr>
        <w:pStyle w:val="NurText"/>
        <w:spacing w:line="360" w:lineRule="auto"/>
        <w:ind w:firstLine="284"/>
        <w:jc w:val="both"/>
        <w:rPr>
          <w:rFonts w:ascii="Times New Roman" w:eastAsia="MS Mincho" w:hAnsi="Times New Roman" w:cs="Times New Roman"/>
          <w:sz w:val="24"/>
          <w:lang w:val="it-IT"/>
        </w:rPr>
      </w:pPr>
      <w:r>
        <w:rPr>
          <w:rFonts w:ascii="Times New Roman" w:eastAsia="MS Mincho" w:hAnsi="Times New Roman" w:cs="Times New Roman"/>
          <w:sz w:val="24"/>
          <w:lang w:val="it-IT"/>
        </w:rPr>
        <w:t>„Elevavitque vocem cum fletu.“ - Gen 45,2.</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lastRenderedPageBreak/>
        <w:t>25</w:t>
      </w:r>
      <w:r>
        <w:rPr>
          <w:rFonts w:ascii="Times New Roman" w:eastAsia="MS Mincho" w:hAnsi="Times New Roman" w:cs="Times New Roman"/>
          <w:sz w:val="24"/>
        </w:rPr>
        <w:tab/>
        <w:t xml:space="preserve">Über dem Totenkopf hängt die Totenglocke; darauf ist die Jahreszahl 1497 und das Reliefbild Marias mit dem Kind zu erkennen. Auf die „gröste Glogg“ der Altöttinger Stiftskirche kommt Megerle auch im </w:t>
      </w:r>
      <w:r>
        <w:rPr>
          <w:rFonts w:ascii="Times New Roman" w:eastAsia="MS Mincho" w:hAnsi="Times New Roman" w:cs="Times New Roman"/>
          <w:i/>
          <w:iCs/>
          <w:sz w:val="24"/>
        </w:rPr>
        <w:t xml:space="preserve">Beylag </w:t>
      </w:r>
      <w:r>
        <w:rPr>
          <w:rFonts w:ascii="Times New Roman" w:eastAsia="MS Mincho" w:hAnsi="Times New Roman" w:cs="Times New Roman"/>
          <w:sz w:val="24"/>
        </w:rPr>
        <w:t xml:space="preserve">zu sprechen; dort schreibt er auf der letzten Seite zu seiner Beisetzung: </w:t>
      </w:r>
    </w:p>
    <w:p w:rsidR="00033488" w:rsidRDefault="00033488" w:rsidP="00033488">
      <w:pPr>
        <w:pStyle w:val="NurText"/>
        <w:ind w:left="567"/>
        <w:jc w:val="both"/>
        <w:rPr>
          <w:rFonts w:ascii="Times New Roman" w:eastAsia="MS Mincho" w:hAnsi="Times New Roman" w:cs="Times New Roman"/>
          <w:sz w:val="24"/>
        </w:rPr>
      </w:pPr>
      <w:r>
        <w:rPr>
          <w:rFonts w:ascii="Times New Roman" w:eastAsia="MS Mincho" w:hAnsi="Times New Roman" w:cs="Times New Roman"/>
          <w:sz w:val="24"/>
        </w:rPr>
        <w:t>„Und weil wegen leittung der grossen glockhen zu allen drey Gottesdiensten von der Frau Probsteyverwalterin seel: nit mehr für alle 3 besingnussen begert ist worden, als 1 fl: würdt mann auch von meinen drey besingnussen nit mehr begehrn, zumahlen ich ein langwihriger Khirchendiener gewesen, und waß ich ander orthen erhauset, zu dessen Ehren alhie angewendtet.“</w:t>
      </w:r>
    </w:p>
    <w:p w:rsidR="00033488" w:rsidRDefault="00033488" w:rsidP="00033488">
      <w:pPr>
        <w:pStyle w:val="NurText"/>
        <w:ind w:left="567" w:firstLine="284"/>
        <w:jc w:val="both"/>
        <w:rPr>
          <w:rFonts w:ascii="Times New Roman" w:eastAsia="MS Mincho" w:hAnsi="Times New Roman" w:cs="Times New Roman"/>
          <w:sz w:val="24"/>
        </w:rPr>
      </w:pPr>
    </w:p>
    <w:p w:rsidR="00033488" w:rsidRDefault="00033488" w:rsidP="00033488">
      <w:pPr>
        <w:pStyle w:val="NurText"/>
        <w:spacing w:line="360" w:lineRule="auto"/>
        <w:ind w:left="284"/>
        <w:jc w:val="both"/>
        <w:rPr>
          <w:rFonts w:ascii="Times New Roman" w:eastAsia="MS Mincho" w:hAnsi="Times New Roman" w:cs="Times New Roman"/>
          <w:sz w:val="24"/>
        </w:rPr>
      </w:pPr>
      <w:r>
        <w:rPr>
          <w:rFonts w:ascii="Times New Roman" w:eastAsia="MS Mincho" w:hAnsi="Times New Roman" w:cs="Times New Roman"/>
          <w:sz w:val="24"/>
        </w:rPr>
        <w:t>Die von Hanns Reicher gegossene, angeblich 80 Zentner schwere „Stürmerin“ hing bis 1963 im Südturm der Stiftskirche. Seitdem sie damals gesprungen ist, steht sie neben dem romanischen Portal.</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Glocke, Blumen und lateinisches Gebet beziehen sich offenkundig auf die Jungfrau Maria, vielleicht auch die beiden Tasteninstrumente als bevorzugte Fraueninstrumente (wie sonst im Namen Virginal  - von virgo, nicht virga! - erkennbar ist).</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Die Darstellungen links und rechts neben der Glocke werden ebenfalls auf der letzten Seite des </w:t>
      </w:r>
      <w:r>
        <w:rPr>
          <w:rFonts w:ascii="Times New Roman" w:eastAsia="MS Mincho" w:hAnsi="Times New Roman" w:cs="Times New Roman"/>
          <w:i/>
          <w:iCs/>
          <w:sz w:val="24"/>
        </w:rPr>
        <w:t>Beylag</w:t>
      </w:r>
      <w:r>
        <w:rPr>
          <w:rFonts w:ascii="Times New Roman" w:eastAsia="MS Mincho" w:hAnsi="Times New Roman" w:cs="Times New Roman"/>
          <w:sz w:val="24"/>
        </w:rPr>
        <w:t xml:space="preserve"> beschrieben: </w:t>
      </w:r>
    </w:p>
    <w:p w:rsidR="00033488" w:rsidRDefault="00033488" w:rsidP="00033488">
      <w:pPr>
        <w:pStyle w:val="NurText"/>
        <w:ind w:left="568"/>
        <w:jc w:val="both"/>
        <w:rPr>
          <w:rFonts w:ascii="Times New Roman" w:eastAsia="MS Mincho" w:hAnsi="Times New Roman" w:cs="Times New Roman"/>
          <w:sz w:val="24"/>
        </w:rPr>
      </w:pPr>
      <w:r>
        <w:rPr>
          <w:rFonts w:ascii="Times New Roman" w:eastAsia="MS Mincho" w:hAnsi="Times New Roman" w:cs="Times New Roman"/>
          <w:sz w:val="24"/>
        </w:rPr>
        <w:t>„In der Stifftkhirch solt mann zu den 3 Gottsdiensten den Creizaltar clagen lassen, miten in dem weisß Creiz meines grossen wappens auf 4 blehen gemahlen hinain, und in die feldtung 4 Musicalische Todtenkh”pff unden an dem besagten Altar unnd Todtenpaar, so ist ein absonderliches grosses wappen auf vier blech gemahlen, für meinen stuell im Chor zu beziehen.“</w:t>
      </w:r>
    </w:p>
    <w:p w:rsidR="00033488" w:rsidRDefault="00033488" w:rsidP="00033488">
      <w:pPr>
        <w:pStyle w:val="NurText"/>
        <w:ind w:left="568"/>
        <w:jc w:val="both"/>
        <w:rPr>
          <w:rFonts w:ascii="Times New Roman" w:eastAsia="MS Mincho" w:hAnsi="Times New Roman" w:cs="Times New Roman"/>
          <w:sz w:val="24"/>
        </w:rPr>
      </w:pP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Zu den Wappen mit Totenköpfen, die offenbar nach Vorlagen des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gestaltet werden sollten, vgl. Abrahams a Sancta Clara </w:t>
      </w:r>
      <w:r>
        <w:rPr>
          <w:rFonts w:ascii="Times New Roman" w:eastAsia="MS Mincho" w:hAnsi="Times New Roman" w:cs="Times New Roman"/>
          <w:i/>
          <w:iCs/>
          <w:sz w:val="24"/>
        </w:rPr>
        <w:t xml:space="preserve">Totenkapelle </w:t>
      </w:r>
      <w:r>
        <w:rPr>
          <w:rFonts w:ascii="Times New Roman" w:eastAsia="MS Mincho" w:hAnsi="Times New Roman" w:cs="Times New Roman"/>
          <w:sz w:val="24"/>
        </w:rPr>
        <w:t>(wie Anm. 4), S. 165: „Wir Menschen führen alle den Totenkopf im Wappen.“</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„Solum mihi superest sepulchrum.“ - Jb 17,1.</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„Lux perpetua luceat ei“. - mehrfach in der Totenliturgie, z.B. in den Tumbagebeten des </w:t>
      </w:r>
      <w:r>
        <w:rPr>
          <w:rFonts w:ascii="Times New Roman" w:eastAsia="MS Mincho" w:hAnsi="Times New Roman" w:cs="Times New Roman"/>
          <w:i/>
          <w:iCs/>
          <w:sz w:val="24"/>
        </w:rPr>
        <w:t>Rituale Romanum</w:t>
      </w:r>
      <w:r>
        <w:rPr>
          <w:rFonts w:ascii="Times New Roman" w:eastAsia="MS Mincho" w:hAnsi="Times New Roman" w:cs="Times New Roman"/>
          <w:sz w:val="24"/>
        </w:rPr>
        <w:t>.</w:t>
      </w:r>
    </w:p>
    <w:p w:rsidR="00033488" w:rsidRDefault="00033488" w:rsidP="00033488">
      <w:pPr>
        <w:pStyle w:val="NurText"/>
        <w:spacing w:line="360" w:lineRule="auto"/>
        <w:ind w:left="284" w:firstLine="284"/>
        <w:jc w:val="both"/>
        <w:rPr>
          <w:rFonts w:ascii="Times New Roman" w:eastAsia="MS Mincho" w:hAnsi="Times New Roman" w:cs="Times New Roman"/>
          <w:sz w:val="24"/>
          <w:lang w:val="fr-FR"/>
        </w:rPr>
      </w:pPr>
      <w:r>
        <w:rPr>
          <w:rFonts w:ascii="Times New Roman" w:eastAsia="MS Mincho" w:hAnsi="Times New Roman" w:cs="Times New Roman"/>
          <w:sz w:val="24"/>
          <w:lang w:val="fr-FR"/>
        </w:rPr>
        <w:t>„Deserta est omnis laetitia</w:t>
      </w:r>
      <w:proofErr w:type="gramStart"/>
      <w:r>
        <w:rPr>
          <w:rFonts w:ascii="Times New Roman" w:eastAsia="MS Mincho" w:hAnsi="Times New Roman" w:cs="Times New Roman"/>
          <w:sz w:val="24"/>
          <w:lang w:val="fr-FR"/>
        </w:rPr>
        <w:t>.“</w:t>
      </w:r>
      <w:proofErr w:type="gramEnd"/>
      <w:r>
        <w:rPr>
          <w:rFonts w:ascii="Times New Roman" w:eastAsia="MS Mincho" w:hAnsi="Times New Roman" w:cs="Times New Roman"/>
          <w:sz w:val="24"/>
          <w:lang w:val="fr-FR"/>
        </w:rPr>
        <w:t xml:space="preserve"> - Is 24,11: „occidit omnis laetitia“.</w:t>
      </w:r>
    </w:p>
    <w:p w:rsidR="00033488" w:rsidRDefault="00033488" w:rsidP="00033488">
      <w:pPr>
        <w:pStyle w:val="NurText"/>
        <w:spacing w:line="360" w:lineRule="auto"/>
        <w:ind w:left="284" w:firstLine="284"/>
        <w:jc w:val="both"/>
        <w:rPr>
          <w:rFonts w:ascii="Times New Roman" w:eastAsia="MS Mincho" w:hAnsi="Times New Roman" w:cs="Times New Roman"/>
          <w:sz w:val="24"/>
          <w:lang w:val="en-GB"/>
        </w:rPr>
      </w:pPr>
      <w:r>
        <w:rPr>
          <w:rFonts w:ascii="Times New Roman" w:eastAsia="MS Mincho" w:hAnsi="Times New Roman" w:cs="Times New Roman"/>
          <w:sz w:val="24"/>
          <w:lang w:val="en-GB"/>
        </w:rPr>
        <w:t>„Nec audietur Vox ejus</w:t>
      </w:r>
      <w:proofErr w:type="gramStart"/>
      <w:r>
        <w:rPr>
          <w:rFonts w:ascii="Times New Roman" w:eastAsia="MS Mincho" w:hAnsi="Times New Roman" w:cs="Times New Roman"/>
          <w:sz w:val="24"/>
          <w:lang w:val="en-GB"/>
        </w:rPr>
        <w:t>.“</w:t>
      </w:r>
      <w:proofErr w:type="gramEnd"/>
      <w:r>
        <w:rPr>
          <w:rFonts w:ascii="Times New Roman" w:eastAsia="MS Mincho" w:hAnsi="Times New Roman" w:cs="Times New Roman"/>
          <w:sz w:val="24"/>
          <w:lang w:val="en-GB"/>
        </w:rPr>
        <w:t xml:space="preserve"> - Is 42</w:t>
      </w:r>
      <w:proofErr w:type="gramStart"/>
      <w:r>
        <w:rPr>
          <w:rFonts w:ascii="Times New Roman" w:eastAsia="MS Mincho" w:hAnsi="Times New Roman" w:cs="Times New Roman"/>
          <w:sz w:val="24"/>
          <w:lang w:val="en-GB"/>
        </w:rPr>
        <w:t>,2</w:t>
      </w:r>
      <w:proofErr w:type="gramEnd"/>
      <w:r>
        <w:rPr>
          <w:rFonts w:ascii="Times New Roman" w:eastAsia="MS Mincho" w:hAnsi="Times New Roman" w:cs="Times New Roman"/>
          <w:sz w:val="24"/>
          <w:lang w:val="en-GB"/>
        </w:rPr>
        <w:t>.</w:t>
      </w:r>
    </w:p>
    <w:p w:rsidR="00033488" w:rsidRDefault="00033488" w:rsidP="00033488">
      <w:pPr>
        <w:pStyle w:val="NurText"/>
        <w:spacing w:line="360" w:lineRule="auto"/>
        <w:ind w:left="568"/>
        <w:jc w:val="both"/>
        <w:rPr>
          <w:rFonts w:ascii="Times New Roman" w:eastAsia="MS Mincho" w:hAnsi="Times New Roman" w:cs="Times New Roman"/>
          <w:sz w:val="24"/>
        </w:rPr>
      </w:pPr>
      <w:r>
        <w:rPr>
          <w:rFonts w:ascii="Times New Roman" w:eastAsia="MS Mincho" w:hAnsi="Times New Roman" w:cs="Times New Roman"/>
          <w:sz w:val="24"/>
        </w:rPr>
        <w:t xml:space="preserve">Schlagets Instrument = Spinett (Virginal, Cembalo), von der Ausdrucksweise „die Orgel schlagen“ auf andere Tasteninstrumente übertragen. Das Wort Instrument meint bis ins 17. Jahrhundert unter Umständen nur Tasteninstrumente, anfangs Orgeln, später oft Kielinstrumente; vgl. z.B. das Innsbrucker Inventar von 1665, Waldner (wie Anm. 127), S. </w:t>
      </w:r>
      <w:proofErr w:type="gramStart"/>
      <w:r>
        <w:rPr>
          <w:rFonts w:ascii="Times New Roman" w:eastAsia="MS Mincho" w:hAnsi="Times New Roman" w:cs="Times New Roman"/>
          <w:sz w:val="24"/>
        </w:rPr>
        <w:t>131f.,</w:t>
      </w:r>
      <w:proofErr w:type="gramEnd"/>
      <w:r>
        <w:rPr>
          <w:rFonts w:ascii="Times New Roman" w:eastAsia="MS Mincho" w:hAnsi="Times New Roman" w:cs="Times New Roman"/>
          <w:sz w:val="24"/>
        </w:rPr>
        <w:t xml:space="preserve"> zur Begriffsdiskussion auch Praetorius (wie Anm. 124), S. 62f.</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26</w:t>
      </w:r>
      <w:r>
        <w:rPr>
          <w:rFonts w:ascii="Times New Roman" w:eastAsia="MS Mincho" w:hAnsi="Times New Roman" w:cs="Times New Roman"/>
          <w:sz w:val="24"/>
        </w:rPr>
        <w:tab/>
        <w:t>Schantz &gt; (frz.) chance &gt; (lat.) cadentia, ursprünglich das Fallen der Würfel bezeichnend (</w:t>
      </w:r>
      <w:r>
        <w:rPr>
          <w:rFonts w:ascii="Times New Roman" w:eastAsia="MS Mincho" w:hAnsi="Times New Roman" w:cs="Times New Roman"/>
          <w:i/>
          <w:iCs/>
          <w:sz w:val="24"/>
        </w:rPr>
        <w:t>Grimms Deutsches Wörterbuch</w:t>
      </w:r>
      <w:r>
        <w:rPr>
          <w:rFonts w:ascii="Times New Roman" w:eastAsia="MS Mincho" w:hAnsi="Times New Roman" w:cs="Times New Roman"/>
          <w:sz w:val="24"/>
        </w:rPr>
        <w:t>, VIII</w:t>
      </w:r>
      <w:proofErr w:type="gramStart"/>
      <w:r>
        <w:rPr>
          <w:rFonts w:ascii="Times New Roman" w:eastAsia="MS Mincho" w:hAnsi="Times New Roman" w:cs="Times New Roman"/>
          <w:sz w:val="24"/>
        </w:rPr>
        <w:t>,2163</w:t>
      </w:r>
      <w:proofErr w:type="gramEnd"/>
      <w:r>
        <w:rPr>
          <w:rFonts w:ascii="Times New Roman" w:eastAsia="MS Mincho" w:hAnsi="Times New Roman" w:cs="Times New Roman"/>
          <w:sz w:val="24"/>
        </w:rPr>
        <w:t xml:space="preserve"> (ff.)), Einsatz im Spiel; baß &gt; (frz.) bas = niedrig: </w:t>
      </w:r>
      <w:r>
        <w:rPr>
          <w:rFonts w:ascii="Times New Roman" w:eastAsia="MS Mincho" w:hAnsi="Times New Roman" w:cs="Times New Roman"/>
          <w:sz w:val="24"/>
        </w:rPr>
        <w:lastRenderedPageBreak/>
        <w:t xml:space="preserve">„Auff dein Schantz kanst baß schauen.“ - Auf deinen Einsatz kannst du hinunterschauen. (Die Würfel sind gefallen, das Spiel verloren.)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 durch deines eingebornen Sohns JESU Christi letsten heiligen Athem ...“ - vgl. im ersten Totenkopfbild (S. 24) die beiden Zitate und ihren Kontext im </w:t>
      </w:r>
      <w:r>
        <w:rPr>
          <w:rFonts w:ascii="Times New Roman" w:eastAsia="MS Mincho" w:hAnsi="Times New Roman" w:cs="Times New Roman"/>
          <w:i/>
          <w:iCs/>
          <w:sz w:val="24"/>
        </w:rPr>
        <w:t>Rituale Romanum</w:t>
      </w:r>
      <w:r>
        <w:rPr>
          <w:rFonts w:ascii="Times New Roman" w:eastAsia="MS Mincho" w:hAnsi="Times New Roman" w:cs="Times New Roman"/>
          <w:sz w:val="24"/>
        </w:rPr>
        <w:t>: „De exspiratione“.</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27</w:t>
      </w:r>
      <w:r>
        <w:rPr>
          <w:rFonts w:ascii="Times New Roman" w:eastAsia="MS Mincho" w:hAnsi="Times New Roman" w:cs="Times New Roman"/>
          <w:sz w:val="24"/>
        </w:rPr>
        <w:tab/>
        <w:t xml:space="preserve">Vech = buntes Pelzwerk (der Chorkappe); vgl. </w:t>
      </w:r>
      <w:r>
        <w:rPr>
          <w:rFonts w:ascii="Times New Roman" w:eastAsia="MS Mincho" w:hAnsi="Times New Roman" w:cs="Times New Roman"/>
          <w:i/>
          <w:iCs/>
          <w:sz w:val="24"/>
        </w:rPr>
        <w:t>Grimms Deutsches Wörterbuch</w:t>
      </w:r>
      <w:r>
        <w:rPr>
          <w:rFonts w:ascii="Times New Roman" w:eastAsia="MS Mincho" w:hAnsi="Times New Roman" w:cs="Times New Roman"/>
          <w:sz w:val="24"/>
        </w:rPr>
        <w:t xml:space="preserve">, III,1386 (Fech).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„Der Fuchs / der Lux ...“ - Schlagreim</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Gedicht und Gebet beziehen sich auf das Gleichnis vom königlichen Hochzeitsmahl, Mt 22,1-14, vor allem 22,11ff.</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28</w:t>
      </w:r>
      <w:r>
        <w:rPr>
          <w:rFonts w:ascii="Times New Roman" w:eastAsia="MS Mincho" w:hAnsi="Times New Roman" w:cs="Times New Roman"/>
          <w:sz w:val="24"/>
        </w:rPr>
        <w:tab/>
        <w:t xml:space="preserve">„Chor-Böltz / oder Kappen“ = Cappa choralis, normalerweise schwarzer Kapuzenmantel der Kanoniker für das Chorgebet im Winter, an Festtagen früher Pelzalmutie über dem Rochett. - Megerle stellt im </w:t>
      </w:r>
      <w:r>
        <w:rPr>
          <w:rFonts w:ascii="Times New Roman" w:eastAsia="MS Mincho" w:hAnsi="Times New Roman" w:cs="Times New Roman"/>
          <w:i/>
          <w:iCs/>
          <w:sz w:val="24"/>
        </w:rPr>
        <w:t>Beylag</w:t>
      </w:r>
      <w:r>
        <w:rPr>
          <w:rFonts w:ascii="Times New Roman" w:eastAsia="MS Mincho" w:hAnsi="Times New Roman" w:cs="Times New Roman"/>
          <w:sz w:val="24"/>
        </w:rPr>
        <w:t xml:space="preserve"> (17.f. S.) seinen Chorpelz seinem Bruder Sigmund zu Verfügung, ebenfalls die in den folgenden Totenkopfbildern und -gedichten thematisierten Chorrock, Birett, Brevier und Rosenkranz: </w:t>
      </w:r>
    </w:p>
    <w:p w:rsidR="00033488" w:rsidRDefault="00033488" w:rsidP="00033488">
      <w:pPr>
        <w:pStyle w:val="NurText"/>
        <w:ind w:left="568"/>
        <w:jc w:val="both"/>
        <w:rPr>
          <w:rFonts w:ascii="Times New Roman" w:eastAsia="MS Mincho" w:hAnsi="Times New Roman" w:cs="Times New Roman"/>
          <w:sz w:val="24"/>
        </w:rPr>
      </w:pPr>
      <w:r>
        <w:rPr>
          <w:rFonts w:ascii="Times New Roman" w:eastAsia="MS Mincho" w:hAnsi="Times New Roman" w:cs="Times New Roman"/>
          <w:sz w:val="24"/>
        </w:rPr>
        <w:t>„und ob sich zwar main H. Brueder Sigmund selbst muethwilligerweiß enterbt, solt man Ihm (wann Er anderst mir an die handt gangen.) etwas von meiner Verlassenschafft zuekhommen lassen, yedoch ohne beschwerden des Closters und guetachten der Hochfürstl: gdigen herrn Executoren, alß nemblich het ich vermeint, mein grosses Brevir, den Chorbelz betr: ist Er schlecht und alt, würdt Ihm nit annemblich sein, dann Er schon widerumb in dass Closter solt aufgenohmen werden, weil sye selbst khaine Chorbelz tragen, dann auch ain Chorrockh auß meinen sch”nsten Chorreckhen zu ainem Rogget, mehr ein Rosenkhranz von Foierstaindl sambt ainem Biret.“</w:t>
      </w:r>
    </w:p>
    <w:p w:rsidR="00033488" w:rsidRDefault="00033488" w:rsidP="00033488">
      <w:pPr>
        <w:pStyle w:val="NurText"/>
        <w:ind w:left="284" w:firstLine="284"/>
        <w:jc w:val="both"/>
        <w:rPr>
          <w:rFonts w:ascii="Times New Roman" w:eastAsia="MS Mincho" w:hAnsi="Times New Roman" w:cs="Times New Roman"/>
          <w:sz w:val="24"/>
        </w:rPr>
      </w:pPr>
    </w:p>
    <w:p w:rsidR="00033488" w:rsidRDefault="00033488" w:rsidP="00033488">
      <w:pPr>
        <w:pStyle w:val="NurText"/>
        <w:spacing w:line="360" w:lineRule="auto"/>
        <w:ind w:left="284" w:firstLine="284"/>
        <w:jc w:val="both"/>
        <w:rPr>
          <w:rFonts w:ascii="Times New Roman" w:eastAsia="MS Mincho" w:hAnsi="Times New Roman" w:cs="Times New Roman"/>
          <w:sz w:val="24"/>
        </w:rPr>
      </w:pPr>
      <w:proofErr w:type="gramStart"/>
      <w:r>
        <w:rPr>
          <w:rFonts w:ascii="Times New Roman" w:eastAsia="MS Mincho" w:hAnsi="Times New Roman" w:cs="Times New Roman"/>
          <w:sz w:val="24"/>
          <w:lang w:val="it-IT"/>
        </w:rPr>
        <w:t>„Suspendimus Organa nostra“ - Ps 136,2</w:t>
      </w:r>
      <w:proofErr w:type="gramEnd"/>
      <w:r>
        <w:rPr>
          <w:rFonts w:ascii="Times New Roman" w:eastAsia="MS Mincho" w:hAnsi="Times New Roman" w:cs="Times New Roman"/>
          <w:sz w:val="24"/>
          <w:lang w:val="it-IT"/>
        </w:rPr>
        <w:t xml:space="preserve">. </w:t>
      </w:r>
      <w:r>
        <w:rPr>
          <w:rFonts w:ascii="Times New Roman" w:eastAsia="MS Mincho" w:hAnsi="Times New Roman" w:cs="Times New Roman"/>
          <w:sz w:val="24"/>
        </w:rPr>
        <w:t>Der Klagepsalm der Israeliten in der babylonischen Gefangenschaft verweist hier auf das irdische Gefängnis, in dem die Gläubigen (des himmlischen) Jerusalems gedenken (vgl. Ps 136,1,3,5f.). - Die Übersetzung von organa (= Instrumente) mit Orgeln folgt der mittelalterlichen Spezifizierung des Begriffs (s. Einzelbemerkung zu S. 25).</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„In sinum Abrahae Angeli deducant“ - das Zitat begegnet nicht nur im </w:t>
      </w:r>
      <w:r>
        <w:rPr>
          <w:rFonts w:ascii="Times New Roman" w:eastAsia="MS Mincho" w:hAnsi="Times New Roman" w:cs="Times New Roman"/>
          <w:i/>
          <w:iCs/>
          <w:sz w:val="24"/>
        </w:rPr>
        <w:t>Rituale Salisburgensis</w:t>
      </w:r>
      <w:r>
        <w:rPr>
          <w:rFonts w:ascii="Times New Roman" w:eastAsia="MS Mincho" w:hAnsi="Times New Roman" w:cs="Times New Roman"/>
          <w:sz w:val="24"/>
        </w:rPr>
        <w:t xml:space="preserve"> (1640, S.211), sondern auch im römischen Exequiarum ordo, und zwar jeweils im Versus des Responsorium „Subvenite Sancti Dei“, das nach dem Einzug in die Kirche sowie zur Absolution nach der Exequialmesse am castrum doloris gesungen wird. Es erinnert an das Gleichnis vom reichen Prasser und armen Lazarus, der „portaretur ab angelis in sinum Abrahae“ (Lc 16,22). Als Hinweis auf das ewige Leben und durch Megerles Vornamen ist es hier von doppelter Bedeutung. Die im </w:t>
      </w:r>
      <w:r>
        <w:rPr>
          <w:rFonts w:ascii="Times New Roman" w:eastAsia="MS Mincho" w:hAnsi="Times New Roman" w:cs="Times New Roman"/>
          <w:i/>
          <w:iCs/>
          <w:sz w:val="24"/>
        </w:rPr>
        <w:t>Speculum</w:t>
      </w:r>
      <w:r>
        <w:rPr>
          <w:rFonts w:ascii="Times New Roman" w:eastAsia="MS Mincho" w:hAnsi="Times New Roman" w:cs="Times New Roman"/>
          <w:sz w:val="24"/>
        </w:rPr>
        <w:t xml:space="preserve"> wiedergegebene Melodie stimmt sowohl mit der salzburgischen, als auch mit der römischen Fassung, die einander recht ähnlich sind, nur zu drei Viertel der Noten überein.</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lastRenderedPageBreak/>
        <w:t>„Clangetis ululantibus tubis.“ - Num 10,6: „ululantibus tubis in profectionem“.</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„Et sonabit super eum in die illa.“ - Is 5.30.</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Ob die einander ganz ähnlichen Zeichen auf einzelnen Lorbeerblättern eine Bedeutung haben, ist unklar. Jedenfalls nehmen sie nicht die Tonsilben im vierten Totenkopfbild voraus.</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29</w:t>
      </w:r>
      <w:r>
        <w:rPr>
          <w:rFonts w:ascii="Times New Roman" w:eastAsia="MS Mincho" w:hAnsi="Times New Roman" w:cs="Times New Roman"/>
          <w:sz w:val="24"/>
        </w:rPr>
        <w:tab/>
        <w:t xml:space="preserve">Chorrock = superpelliceum („über dem Pelz“). Nach dem </w:t>
      </w:r>
      <w:r>
        <w:rPr>
          <w:rFonts w:ascii="Times New Roman" w:eastAsia="MS Mincho" w:hAnsi="Times New Roman" w:cs="Times New Roman"/>
          <w:i/>
          <w:iCs/>
          <w:sz w:val="24"/>
        </w:rPr>
        <w:t>Lexikon für Theologie und Kirche</w:t>
      </w:r>
      <w:r>
        <w:rPr>
          <w:rFonts w:ascii="Times New Roman" w:eastAsia="MS Mincho" w:hAnsi="Times New Roman" w:cs="Times New Roman"/>
          <w:sz w:val="24"/>
        </w:rPr>
        <w:t xml:space="preserve"> wird die beim Chorgebet getragene verkürzte Albe „seit dem 18. Jahrhundert mit Spitzen besetzt“; wie man hier sieht, ist dies schon Mitte des 17. Jahrhunderts der Fall; vgl. auch folgende S., zweite Gedichtzeile. - Vgl. </w:t>
      </w:r>
      <w:r>
        <w:rPr>
          <w:rFonts w:ascii="Times New Roman" w:eastAsia="MS Mincho" w:hAnsi="Times New Roman" w:cs="Times New Roman"/>
          <w:i/>
          <w:iCs/>
          <w:sz w:val="24"/>
        </w:rPr>
        <w:t>Beylag</w:t>
      </w:r>
      <w:r>
        <w:rPr>
          <w:rFonts w:ascii="Times New Roman" w:eastAsia="MS Mincho" w:hAnsi="Times New Roman" w:cs="Times New Roman"/>
          <w:sz w:val="24"/>
        </w:rPr>
        <w:t xml:space="preserve">, 18. S., zitiert in den Einzelbemerkungen zu S. 28.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Links oben erscheint ein Weihwassergefäß (aspersorium), rechts oben ein Weihrauchfass (thuribulum), wie sie unter anderem im Hochamt gebraucht werden, bei den Funera insbesondere zur Absolution nach der Exequienmesse. Nach mittelalterlichen Vorstellungen symbolisiert das Rauchfass einerseits das himmlische Jerusalem, andererseits das menschliche Herz, „in dem das Feuer der Liebe brennt und aus dem der Weihrauch von Andacht, Gebet und guten Werken emporströmt“ (A. Weckwerth, „Rauchfaß“, Art. in: </w:t>
      </w:r>
      <w:r>
        <w:rPr>
          <w:rFonts w:ascii="Times New Roman" w:eastAsia="MS Mincho" w:hAnsi="Times New Roman" w:cs="Times New Roman"/>
          <w:i/>
          <w:iCs/>
          <w:sz w:val="24"/>
        </w:rPr>
        <w:t>Lexikon für Theologie und Kirche</w:t>
      </w:r>
      <w:r>
        <w:rPr>
          <w:rFonts w:ascii="Times New Roman" w:eastAsia="MS Mincho" w:hAnsi="Times New Roman" w:cs="Times New Roman"/>
          <w:sz w:val="24"/>
        </w:rPr>
        <w:t xml:space="preserve"> VIII</w:t>
      </w:r>
      <w:proofErr w:type="gramStart"/>
      <w:r>
        <w:rPr>
          <w:rFonts w:ascii="Times New Roman" w:eastAsia="MS Mincho" w:hAnsi="Times New Roman" w:cs="Times New Roman"/>
          <w:sz w:val="24"/>
        </w:rPr>
        <w:t>,1012</w:t>
      </w:r>
      <w:proofErr w:type="gramEnd"/>
      <w:r>
        <w:rPr>
          <w:rFonts w:ascii="Times New Roman" w:eastAsia="MS Mincho" w:hAnsi="Times New Roman" w:cs="Times New Roman"/>
          <w:sz w:val="24"/>
        </w:rPr>
        <w:t xml:space="preserve">). Zur Absolution passt ebenfalls der im Gedicht als „schneeweisses Kleid“ der himmlischen Hochzeit verstandene Chorrock. - Im </w:t>
      </w:r>
      <w:r>
        <w:rPr>
          <w:rFonts w:ascii="Times New Roman" w:eastAsia="MS Mincho" w:hAnsi="Times New Roman" w:cs="Times New Roman"/>
          <w:i/>
          <w:iCs/>
          <w:sz w:val="24"/>
        </w:rPr>
        <w:t xml:space="preserve">Beylag </w:t>
      </w:r>
      <w:r>
        <w:rPr>
          <w:rFonts w:ascii="Times New Roman" w:eastAsia="MS Mincho" w:hAnsi="Times New Roman" w:cs="Times New Roman"/>
          <w:sz w:val="24"/>
        </w:rPr>
        <w:t>(22. S.) ermahnt Megerle das Kloster Zoffingen, bei seinem Jahresamt das „ybrige Rauchwörckh“ zu gebrauchen.</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Auf den Lorbeerblättern erkennt man die (von Megerle entgegen der traditionellen Solmisation) propagierten sieben Tonsilben ut re mi fa sol la si; s. dazu Abraham a Sancta Clara, </w:t>
      </w:r>
      <w:r>
        <w:rPr>
          <w:rFonts w:ascii="Times New Roman" w:eastAsia="MS Mincho" w:hAnsi="Times New Roman" w:cs="Times New Roman"/>
          <w:i/>
          <w:iCs/>
          <w:sz w:val="24"/>
        </w:rPr>
        <w:t>Epitome elogiorum</w:t>
      </w:r>
      <w:r>
        <w:rPr>
          <w:rFonts w:ascii="Times New Roman" w:eastAsia="MS Mincho" w:hAnsi="Times New Roman" w:cs="Times New Roman"/>
          <w:sz w:val="24"/>
        </w:rPr>
        <w:t>, wie Anm. 4, S. 459 sowie Tenhaef, „Abraham Megerles Kanonkünste“ (wie Anm. 34), S. 16f.</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Trögl &lt; kleiner Trog, bei Kircher „Linterculus“ (</w:t>
      </w:r>
      <w:r>
        <w:rPr>
          <w:rFonts w:ascii="Times New Roman" w:eastAsia="MS Mincho" w:hAnsi="Times New Roman" w:cs="Times New Roman"/>
          <w:i/>
          <w:iCs/>
          <w:sz w:val="24"/>
        </w:rPr>
        <w:t>Musurgia universalis</w:t>
      </w:r>
      <w:r>
        <w:rPr>
          <w:rFonts w:ascii="Times New Roman" w:eastAsia="MS Mincho" w:hAnsi="Times New Roman" w:cs="Times New Roman"/>
          <w:sz w:val="24"/>
        </w:rPr>
        <w:t>, I,486). Hier ist der bootsförmige Typus der Kleingeige mit vier Saiten und F-Löchern dargestellt, wie er aus dem mittelalterlichen Rebec hervorging und sich bis ins 18. Jahrhundert hielt, vorwiegend als Pochette; die Stimmung war in der Regel c', g', d'', a''. Entgegen der Abbildung hatten normalerweise weder Trögl noch Violinen Bünde; s. Stauder (wie Anm. 134), S. 171ff.</w:t>
      </w:r>
    </w:p>
    <w:p w:rsidR="00033488" w:rsidRDefault="00033488" w:rsidP="00033488">
      <w:pPr>
        <w:pStyle w:val="NurText"/>
        <w:spacing w:line="360" w:lineRule="auto"/>
        <w:ind w:left="284" w:firstLine="284"/>
        <w:jc w:val="both"/>
        <w:rPr>
          <w:rFonts w:ascii="Times New Roman" w:eastAsia="MS Mincho" w:hAnsi="Times New Roman" w:cs="Times New Roman"/>
          <w:sz w:val="24"/>
          <w:lang w:val="it-IT"/>
        </w:rPr>
      </w:pPr>
      <w:proofErr w:type="gramStart"/>
      <w:r>
        <w:rPr>
          <w:rFonts w:ascii="Times New Roman" w:eastAsia="MS Mincho" w:hAnsi="Times New Roman" w:cs="Times New Roman"/>
          <w:sz w:val="24"/>
          <w:lang w:val="it-IT"/>
        </w:rPr>
        <w:t>„Rore coelesti reficiat animam tuam Deus.“ und „Odore coelesti pascat animam tuam Deus.“</w:t>
      </w:r>
      <w:proofErr w:type="gramEnd"/>
      <w:r>
        <w:rPr>
          <w:rFonts w:ascii="Times New Roman" w:eastAsia="MS Mincho" w:hAnsi="Times New Roman" w:cs="Times New Roman"/>
          <w:sz w:val="24"/>
          <w:lang w:val="it-IT"/>
        </w:rPr>
        <w:t xml:space="preserve"> - </w:t>
      </w:r>
      <w:r>
        <w:rPr>
          <w:rFonts w:ascii="Times New Roman" w:eastAsia="MS Mincho" w:hAnsi="Times New Roman" w:cs="Times New Roman"/>
          <w:i/>
          <w:iCs/>
          <w:sz w:val="24"/>
          <w:lang w:val="it-IT"/>
        </w:rPr>
        <w:t>Rituale Salisburgensis</w:t>
      </w:r>
      <w:r>
        <w:rPr>
          <w:rFonts w:ascii="Times New Roman" w:eastAsia="MS Mincho" w:hAnsi="Times New Roman" w:cs="Times New Roman"/>
          <w:sz w:val="24"/>
          <w:lang w:val="it-IT"/>
        </w:rPr>
        <w:t xml:space="preserve"> (1640), S. 213.</w:t>
      </w:r>
    </w:p>
    <w:p w:rsidR="00033488" w:rsidRDefault="00033488" w:rsidP="00033488">
      <w:pPr>
        <w:pStyle w:val="NurText"/>
        <w:spacing w:line="360" w:lineRule="auto"/>
        <w:ind w:left="284" w:firstLine="284"/>
        <w:jc w:val="both"/>
        <w:rPr>
          <w:rFonts w:ascii="Times New Roman" w:eastAsia="MS Mincho" w:hAnsi="Times New Roman" w:cs="Times New Roman"/>
          <w:sz w:val="24"/>
          <w:lang w:val="fr-FR"/>
        </w:rPr>
      </w:pPr>
      <w:r>
        <w:rPr>
          <w:rFonts w:ascii="Times New Roman" w:eastAsia="MS Mincho" w:hAnsi="Times New Roman" w:cs="Times New Roman"/>
          <w:sz w:val="24"/>
          <w:lang w:val="fr-FR"/>
        </w:rPr>
        <w:t>„In conspectu Angelorum psallam tibi Deus meus</w:t>
      </w:r>
      <w:proofErr w:type="gramStart"/>
      <w:r>
        <w:rPr>
          <w:rFonts w:ascii="Times New Roman" w:eastAsia="MS Mincho" w:hAnsi="Times New Roman" w:cs="Times New Roman"/>
          <w:sz w:val="24"/>
          <w:lang w:val="fr-FR"/>
        </w:rPr>
        <w:t>.“</w:t>
      </w:r>
      <w:proofErr w:type="gramEnd"/>
      <w:r>
        <w:rPr>
          <w:rFonts w:ascii="Times New Roman" w:eastAsia="MS Mincho" w:hAnsi="Times New Roman" w:cs="Times New Roman"/>
          <w:sz w:val="24"/>
          <w:lang w:val="fr-FR"/>
        </w:rPr>
        <w:t xml:space="preserve"> - Ps 137,1.</w:t>
      </w:r>
    </w:p>
    <w:p w:rsidR="00033488" w:rsidRDefault="00033488" w:rsidP="00033488">
      <w:pPr>
        <w:pStyle w:val="NurText"/>
        <w:spacing w:line="360" w:lineRule="auto"/>
        <w:ind w:left="284" w:firstLine="284"/>
        <w:jc w:val="both"/>
        <w:rPr>
          <w:rFonts w:ascii="Times New Roman" w:eastAsia="MS Mincho" w:hAnsi="Times New Roman" w:cs="Times New Roman"/>
          <w:sz w:val="24"/>
          <w:lang w:val="it-IT"/>
        </w:rPr>
      </w:pPr>
      <w:r>
        <w:rPr>
          <w:rFonts w:ascii="Times New Roman" w:eastAsia="MS Mincho" w:hAnsi="Times New Roman" w:cs="Times New Roman"/>
          <w:sz w:val="24"/>
          <w:lang w:val="it-IT"/>
        </w:rPr>
        <w:t xml:space="preserve">„Psallam </w:t>
      </w:r>
      <w:proofErr w:type="gramStart"/>
      <w:r>
        <w:rPr>
          <w:rFonts w:ascii="Times New Roman" w:eastAsia="MS Mincho" w:hAnsi="Times New Roman" w:cs="Times New Roman"/>
          <w:sz w:val="24"/>
          <w:lang w:val="it-IT"/>
        </w:rPr>
        <w:t>nomini</w:t>
      </w:r>
      <w:proofErr w:type="gramEnd"/>
      <w:r>
        <w:rPr>
          <w:rFonts w:ascii="Times New Roman" w:eastAsia="MS Mincho" w:hAnsi="Times New Roman" w:cs="Times New Roman"/>
          <w:sz w:val="24"/>
          <w:lang w:val="it-IT"/>
        </w:rPr>
        <w:t xml:space="preserve"> tuo Altissime.“ - Ps 9,3.</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per Sanguineum Sudorem tuum ...“ - Der blutige Schweiß Christi nimmt Bezug auf den oben links genannten „himmlischen Thaw“ des Weihwassers.</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lastRenderedPageBreak/>
        <w:t>30</w:t>
      </w:r>
      <w:r>
        <w:rPr>
          <w:rFonts w:ascii="Times New Roman" w:eastAsia="MS Mincho" w:hAnsi="Times New Roman" w:cs="Times New Roman"/>
          <w:sz w:val="24"/>
        </w:rPr>
        <w:tab/>
        <w:t xml:space="preserve">Das Gedicht nimmt mit dem hochzeitlichen Kleid nochmals Bezug auf Mt </w:t>
      </w:r>
      <w:proofErr w:type="gramStart"/>
      <w:r>
        <w:rPr>
          <w:rFonts w:ascii="Times New Roman" w:eastAsia="MS Mincho" w:hAnsi="Times New Roman" w:cs="Times New Roman"/>
          <w:sz w:val="24"/>
        </w:rPr>
        <w:t>22,11ff.,</w:t>
      </w:r>
      <w:proofErr w:type="gramEnd"/>
      <w:r>
        <w:rPr>
          <w:rFonts w:ascii="Times New Roman" w:eastAsia="MS Mincho" w:hAnsi="Times New Roman" w:cs="Times New Roman"/>
          <w:sz w:val="24"/>
        </w:rPr>
        <w:t xml:space="preserve"> das Gebet auf den Leibrock Jesu Jo 19,23 bzw. wiederum auf das priesterliche Superpelliceum (Chorrock) als verkürzte Albe (weißes Kleid).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31</w:t>
      </w:r>
      <w:r>
        <w:rPr>
          <w:rFonts w:ascii="Times New Roman" w:eastAsia="MS Mincho" w:hAnsi="Times New Roman" w:cs="Times New Roman"/>
          <w:sz w:val="24"/>
        </w:rPr>
        <w:tab/>
        <w:t xml:space="preserve">Quadrat oder Baret = biretum, Birett, Kopfbedeckung der Priester und in verschiedenen Formen auch der Doktoren. In Italien war das normale Birett der Priester dreieckig, nur bei Doktoren viereckig; vielleicht will Megerle mit dem Ausdruck „Quadrat“, über seinen Stand als Priester hinaus, auch auf seinen schon bezüglich des Lorbeerkranzes erhobenen Anspruch erinnern: „kündten sich darinn ersehen / alle Doctormässige Personen / als da seynd alle Capellmaister / welche Academi Musici“ (S. 20). In jedem Fall ist das Birett ein Symbol der „Freyheit“, die durch den „Apflbiß“ bzw. den Sündenfall Adams und Evas im Paradies verloren ging; Gen 3,1ff. Davon spricht auch das Gebet. - Vgl. außerdem </w:t>
      </w:r>
      <w:r>
        <w:rPr>
          <w:rFonts w:ascii="Times New Roman" w:eastAsia="MS Mincho" w:hAnsi="Times New Roman" w:cs="Times New Roman"/>
          <w:i/>
          <w:iCs/>
          <w:sz w:val="24"/>
        </w:rPr>
        <w:t>Beylag</w:t>
      </w:r>
      <w:r>
        <w:rPr>
          <w:rFonts w:ascii="Times New Roman" w:eastAsia="MS Mincho" w:hAnsi="Times New Roman" w:cs="Times New Roman"/>
          <w:sz w:val="24"/>
        </w:rPr>
        <w:t xml:space="preserve"> (18. S.), zitiert in den Einzelbemerkungen zu S. 28.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32</w:t>
      </w:r>
      <w:r>
        <w:rPr>
          <w:rFonts w:ascii="Times New Roman" w:eastAsia="MS Mincho" w:hAnsi="Times New Roman" w:cs="Times New Roman"/>
          <w:sz w:val="24"/>
        </w:rPr>
        <w:tab/>
        <w:t xml:space="preserve">„Pulvis es, &amp; in pulverem reverteris“ steht nicht nur im </w:t>
      </w:r>
      <w:r>
        <w:rPr>
          <w:rFonts w:ascii="Times New Roman" w:eastAsia="MS Mincho" w:hAnsi="Times New Roman" w:cs="Times New Roman"/>
          <w:i/>
          <w:iCs/>
          <w:sz w:val="24"/>
        </w:rPr>
        <w:t>Rituale Salisburgensis</w:t>
      </w:r>
      <w:r>
        <w:rPr>
          <w:rFonts w:ascii="Times New Roman" w:eastAsia="MS Mincho" w:hAnsi="Times New Roman" w:cs="Times New Roman"/>
          <w:sz w:val="24"/>
        </w:rPr>
        <w:t xml:space="preserve"> (1640, S. 213), sondern auch im Bericht über den im Gedicht (S. 31) thematisierten Sündenfall, Gen 3,19. </w:t>
      </w:r>
    </w:p>
    <w:p w:rsidR="00033488" w:rsidRDefault="00033488" w:rsidP="00033488">
      <w:pPr>
        <w:pStyle w:val="NurText"/>
        <w:spacing w:line="360" w:lineRule="auto"/>
        <w:ind w:left="284" w:firstLine="284"/>
        <w:jc w:val="both"/>
        <w:rPr>
          <w:rFonts w:ascii="Times New Roman" w:eastAsia="MS Mincho" w:hAnsi="Times New Roman" w:cs="Times New Roman"/>
          <w:sz w:val="24"/>
          <w:lang w:val="it-IT"/>
        </w:rPr>
      </w:pPr>
      <w:r>
        <w:rPr>
          <w:rFonts w:ascii="Times New Roman" w:eastAsia="MS Mincho" w:hAnsi="Times New Roman" w:cs="Times New Roman"/>
          <w:sz w:val="24"/>
          <w:lang w:val="it-IT"/>
        </w:rPr>
        <w:t xml:space="preserve">„Requiescat in pace.“ - </w:t>
      </w:r>
      <w:r>
        <w:rPr>
          <w:rFonts w:ascii="Times New Roman" w:eastAsia="MS Mincho" w:hAnsi="Times New Roman" w:cs="Times New Roman"/>
          <w:i/>
          <w:iCs/>
          <w:sz w:val="24"/>
          <w:lang w:val="it-IT"/>
        </w:rPr>
        <w:t>Rituale Romanum</w:t>
      </w:r>
      <w:r>
        <w:rPr>
          <w:rFonts w:ascii="Times New Roman" w:eastAsia="MS Mincho" w:hAnsi="Times New Roman" w:cs="Times New Roman"/>
          <w:sz w:val="24"/>
          <w:lang w:val="it-IT"/>
        </w:rPr>
        <w:t>, Tumbagebet.</w:t>
      </w:r>
    </w:p>
    <w:p w:rsidR="00033488" w:rsidRDefault="00033488" w:rsidP="00033488">
      <w:pPr>
        <w:pStyle w:val="NurText"/>
        <w:spacing w:line="360" w:lineRule="auto"/>
        <w:ind w:left="284" w:firstLine="284"/>
        <w:jc w:val="both"/>
        <w:rPr>
          <w:rFonts w:ascii="Times New Roman" w:eastAsia="MS Mincho" w:hAnsi="Times New Roman" w:cs="Times New Roman"/>
          <w:sz w:val="24"/>
          <w:lang w:val="it-IT"/>
        </w:rPr>
      </w:pPr>
      <w:r>
        <w:rPr>
          <w:rFonts w:ascii="Times New Roman" w:eastAsia="MS Mincho" w:hAnsi="Times New Roman" w:cs="Times New Roman"/>
          <w:sz w:val="24"/>
          <w:lang w:val="it-IT"/>
        </w:rPr>
        <w:t>„Cessare faciam omne gaudium.“ - Os 2,11.</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„Quievit sonitus laetantium.“ - Is 24,8.</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Die tiefen Instrumente Viola da gamba und Bassgeigen (wohl Violone) spielen auf die irdische Tiefe des Staubes oder des Grabes bzw. auf die darin gefundene Ruhe an, wovon die Zitate handeln.</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33</w:t>
      </w:r>
      <w:r>
        <w:rPr>
          <w:rFonts w:ascii="Times New Roman" w:eastAsia="MS Mincho" w:hAnsi="Times New Roman" w:cs="Times New Roman"/>
          <w:sz w:val="24"/>
        </w:rPr>
        <w:tab/>
        <w:t xml:space="preserve">„Hostias et preces“ ist der Anfang des Versus im Requiem-Offertorium, in dem vom Patriarchen Abraham (Megerles Vorname) und seiner Nachkommenschaft die Rede ist. Die Worte stehen auf einem Altar, über dem Megerles sechs Bruderschaftsabzeichen hängen (vgl. </w:t>
      </w:r>
      <w:r>
        <w:rPr>
          <w:rFonts w:ascii="Times New Roman" w:eastAsia="MS Mincho" w:hAnsi="Times New Roman" w:cs="Times New Roman"/>
          <w:i/>
          <w:iCs/>
          <w:sz w:val="24"/>
        </w:rPr>
        <w:t>Speculum</w:t>
      </w:r>
      <w:r>
        <w:rPr>
          <w:rFonts w:ascii="Times New Roman" w:eastAsia="MS Mincho" w:hAnsi="Times New Roman" w:cs="Times New Roman"/>
          <w:sz w:val="24"/>
        </w:rPr>
        <w:t xml:space="preserve">, S. 20). Dadurch werden die guten Werke und Gebete der Bruderschaften als (priesterliche) „Opfergaben und Gebete“ hervorgehoben und, insbesondere aus dem Blickwinkel der Totenbruderschaften, auf den Übergang zum ewigen Leben bezogen (im Versus: „... de morte transire ad vitam“).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„Ad vesperam absolute incipitur ab Antiphona“ ist die Anweisung des Breviers zur ersten Vesperantiphon im Officium Defunctorum, deren Anfang zitiert wird: „Placebo Domino (in regione vivorum.)“ - Zu Megerles Brevir vgl.  den </w:t>
      </w:r>
      <w:r>
        <w:rPr>
          <w:rFonts w:ascii="Times New Roman" w:eastAsia="MS Mincho" w:hAnsi="Times New Roman" w:cs="Times New Roman"/>
          <w:i/>
          <w:iCs/>
          <w:sz w:val="24"/>
        </w:rPr>
        <w:t>Beylag</w:t>
      </w:r>
      <w:r>
        <w:rPr>
          <w:rFonts w:ascii="Times New Roman" w:eastAsia="MS Mincho" w:hAnsi="Times New Roman" w:cs="Times New Roman"/>
          <w:sz w:val="24"/>
        </w:rPr>
        <w:t xml:space="preserve"> (17. S.), zitiert in den Einzelbemerkungen zu S. 28.</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Zur Totenfahne mit soggetto cavato s.o. S</w:t>
      </w:r>
      <w:proofErr w:type="gramStart"/>
      <w:r>
        <w:rPr>
          <w:rFonts w:ascii="Times New Roman" w:eastAsia="MS Mincho" w:hAnsi="Times New Roman" w:cs="Times New Roman"/>
          <w:sz w:val="24"/>
        </w:rPr>
        <w:t>.*</w:t>
      </w:r>
      <w:proofErr w:type="gramEnd"/>
      <w:r>
        <w:rPr>
          <w:rFonts w:ascii="Times New Roman" w:eastAsia="MS Mincho" w:hAnsi="Times New Roman" w:cs="Times New Roman"/>
          <w:sz w:val="24"/>
        </w:rPr>
        <w:t xml:space="preserve">** Eine weitere Mystifikation ist der Text darüber: „Erbarmet euch doch meiner / allwo man die Noten an statt der Silben braucht.“ Nur die ersten vier Worte übersetzen den Kanontext (nach Jb 19,21) bzw. die Noten; die weiteren </w:t>
      </w:r>
      <w:r>
        <w:rPr>
          <w:rFonts w:ascii="Times New Roman" w:eastAsia="MS Mincho" w:hAnsi="Times New Roman" w:cs="Times New Roman"/>
          <w:sz w:val="24"/>
        </w:rPr>
        <w:lastRenderedPageBreak/>
        <w:t>geben einerseits eine Kanonanweisung zur Aufl”sung des soggetto cavato, andererseits verweisen sie auf den Sinn der Totenfahne, nämlich die erl”sten Freunde im Himmel um ihre Fürsprache zu bitten. Schließlich bringen sie ein Stück barocker „Musikmetaphysik“ zur Geltung, indem sie den himmlischen Gesang der Engel und Auserwählten über die (irdische) Wortsprache stellen. Dabei mag auch (über das ältere quadriviale Musikverständnis) die Ansicht Platons hineinspielen, nach der die Mathemata dem Weltgeist näher sind oder ihn wahrer aussprechen als bloße Worte.</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Das Heerhorn wird schon auf mittelalterlichen Darstellungen als „letst Posaun“ (von einem Engel geblasen) verstanden (s. Hammerstein (wie Anm. 119) zur Ikonographie des Tubaengels, S. </w:t>
      </w:r>
      <w:proofErr w:type="gramStart"/>
      <w:r>
        <w:rPr>
          <w:rFonts w:ascii="Times New Roman" w:eastAsia="MS Mincho" w:hAnsi="Times New Roman" w:cs="Times New Roman"/>
          <w:sz w:val="24"/>
        </w:rPr>
        <w:t>205ff.,</w:t>
      </w:r>
      <w:proofErr w:type="gramEnd"/>
      <w:r>
        <w:rPr>
          <w:rFonts w:ascii="Times New Roman" w:eastAsia="MS Mincho" w:hAnsi="Times New Roman" w:cs="Times New Roman"/>
          <w:sz w:val="24"/>
        </w:rPr>
        <w:t xml:space="preserve"> speziell zum Heerhorn S. 213, außerdem Stauder, S. 124f.). Die Trompete (Tuba) erscheint hier dagegen als Instrument weltlicher Klangpracht, ja das Apokalypsezitat (18,22) ist aus dem Bannfluch des Engels über die stolze, reiche und sündige Stadt Babylon, mit der auch ihre Musik untergeht: „Et vox citharoedorum et musicorum et tibia canentium et tuba non audietur in te amplius ...“. (In Megerles Zoffinger Gemälde mit „vnser L. Frau in der Glory“ wird eine einzelne Trompete allerdings von einem Engel geblasen und deutet damit auf die novissima tuba (1Cor 15,52 / Apc 11,15) oder die musica coelestis hin. Im Gebett zum elften Totenkopf (S. 43) harmonisiert Megerle die weltliche und die geistliche Trompetendeutung, indem er davon ausgeht, dass Gott durch den „lustigen Trompetenklang ... gelobt vnnd geprisen werden“ will.)</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34</w:t>
      </w:r>
      <w:r>
        <w:rPr>
          <w:rFonts w:ascii="Times New Roman" w:eastAsia="MS Mincho" w:hAnsi="Times New Roman" w:cs="Times New Roman"/>
          <w:sz w:val="24"/>
        </w:rPr>
        <w:tab/>
        <w:t xml:space="preserve">Das Gedicht übersetzt in der ersten Verszeile die im vorangehenden Bild zitierte Vesperantiphon „Placebo Domino“, in der zweiten knüpft sie an den (zu ergänzenden) Text der Totenfahne oder auch dessen „Übersetzung“ an. Die „amici mei“ Hiobs werden so noch einmal als Freunde Gottes, d.h. Heilige im Himmel interpretiert, in deren Kreis Megerle aufgenommen werden möchte.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„Den Rosenkrantz“ - Megerle vererbt im </w:t>
      </w:r>
      <w:r>
        <w:rPr>
          <w:rFonts w:ascii="Times New Roman" w:eastAsia="MS Mincho" w:hAnsi="Times New Roman" w:cs="Times New Roman"/>
          <w:i/>
          <w:iCs/>
          <w:sz w:val="24"/>
        </w:rPr>
        <w:t>Beylag</w:t>
      </w:r>
      <w:r>
        <w:rPr>
          <w:rFonts w:ascii="Times New Roman" w:eastAsia="MS Mincho" w:hAnsi="Times New Roman" w:cs="Times New Roman"/>
          <w:sz w:val="24"/>
        </w:rPr>
        <w:t xml:space="preserve"> (18. S.) seinem Bruder Sigmund einen „Rosenkhranz von Foierstaindl“. Unter den Bruderschaftsabzeichen im sechsten Totenkopfbild ist einer dargestellt.</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„das Meß lesen“ - Megerle hat nach eigenem Zeugnis über 24 Jahre „niemahlen eine einzige Metten versaumbt“ (Brief an den Fürstbischof Albert Sigismund, wiedergegeben bei Albert, wie Anm. 4, S. 129); auch pflegte er in Altötting in den fünf Hauptkirchen monatlich reihum zu zelebrieren, wie er im </w:t>
      </w:r>
      <w:r>
        <w:rPr>
          <w:rFonts w:ascii="Times New Roman" w:eastAsia="MS Mincho" w:hAnsi="Times New Roman" w:cs="Times New Roman"/>
          <w:i/>
          <w:iCs/>
          <w:sz w:val="24"/>
        </w:rPr>
        <w:t>Beylag</w:t>
      </w:r>
      <w:r>
        <w:rPr>
          <w:rFonts w:ascii="Times New Roman" w:eastAsia="MS Mincho" w:hAnsi="Times New Roman" w:cs="Times New Roman"/>
          <w:sz w:val="24"/>
        </w:rPr>
        <w:t xml:space="preserve"> (12.S.) schreibt: „Und würdt der Heiligiste Nam  Maria durch die fünf Gottsheüser der 5 gelesenen heyl: Messen exprimiret, wie in lebzeiten monathlich gepflögt worden.“</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lastRenderedPageBreak/>
        <w:t>„die gefährliche Stachel deß Fleisch demme ...“ - erinnert an 2Cor 12,7, da Paulus von sich sagt: „datus est mihi stimulus carnis meae, angelus satanae“.</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35</w:t>
      </w:r>
      <w:r>
        <w:rPr>
          <w:rFonts w:ascii="Times New Roman" w:eastAsia="MS Mincho" w:hAnsi="Times New Roman" w:cs="Times New Roman"/>
          <w:sz w:val="24"/>
        </w:rPr>
        <w:tab/>
        <w:t xml:space="preserve">Die ersten vier Verszeilen greifen die beiden im fünften Bild oben zitierten Worte des Rituale wieder auf, die fünfte die im zweiten Bild oben rechts zitierten Ritualworte.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Syon, das himmlische Jerusalem - im Gebet kommt Megerle darauf zurück -, wird unter anderem in Apc 21,2ff. geschildert: „Es wird kein Tod, keine Trauer, keine Klage und kein Schmerz mehr sein. Denn was einst war, ist vergangen. ... Nichts Verfluchtes wird es mehr geben. Der Thron Gottes und des Lammes ist in ihr [in der Stadt] und seine Knechte beten ihn an.“</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„Von aller Peyn / befreyt wird seyn / Im hohen Himmel oben“ - Der Binnenreim betont (mit den Assonanzen) den mystischen Zusammenklang der himmlischen Harmonie. Außer an die zitierte Apokalypsestelle erinnert der Text, wie der Gesang im dritten Bild, an das Gleichnis vom reichen Prasser und armen Lazarus (Lc 16,19-31, vor allem 23): „Als er [der Prasser] in der Hölle inmitten seiner Qualen seine Augen erhob, sah er von ferne Abraham und in seinem Schoße Lazarus.“ Beide Bezüge vereinigen sich in der (nicht zitierten) Antiphon des </w:t>
      </w:r>
      <w:r>
        <w:rPr>
          <w:rFonts w:ascii="Times New Roman" w:eastAsia="MS Mincho" w:hAnsi="Times New Roman" w:cs="Times New Roman"/>
          <w:i/>
          <w:iCs/>
          <w:sz w:val="24"/>
        </w:rPr>
        <w:t>Rituale Romanum</w:t>
      </w:r>
      <w:r>
        <w:rPr>
          <w:rFonts w:ascii="Times New Roman" w:eastAsia="MS Mincho" w:hAnsi="Times New Roman" w:cs="Times New Roman"/>
          <w:sz w:val="24"/>
        </w:rPr>
        <w:t xml:space="preserve"> zur Beerdigung: „In paradisum deducant te Angeli ... et cum Lazaro quondam paupere aeternam habeas requiem.“</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36</w:t>
      </w:r>
      <w:r>
        <w:rPr>
          <w:rFonts w:ascii="Times New Roman" w:eastAsia="MS Mincho" w:hAnsi="Times New Roman" w:cs="Times New Roman"/>
          <w:sz w:val="24"/>
        </w:rPr>
        <w:tab/>
        <w:t xml:space="preserve">Das von Megerle komponierte Seelambt mit 5 Stimmen erwähnt er auch S. 21 als „Requiem Quinque Vocum, ... welches auch 2. oder 5. Geigen hat ad libitum con 4. Rip.“. Das im </w:t>
      </w:r>
      <w:proofErr w:type="gramStart"/>
      <w:r>
        <w:rPr>
          <w:rFonts w:ascii="Times New Roman" w:eastAsia="MS Mincho" w:hAnsi="Times New Roman" w:cs="Times New Roman"/>
          <w:sz w:val="24"/>
        </w:rPr>
        <w:t>übrigen</w:t>
      </w:r>
      <w:proofErr w:type="gramEnd"/>
      <w:r>
        <w:rPr>
          <w:rFonts w:ascii="Times New Roman" w:eastAsia="MS Mincho" w:hAnsi="Times New Roman" w:cs="Times New Roman"/>
          <w:sz w:val="24"/>
        </w:rPr>
        <w:t xml:space="preserve"> verschollene Werk hat (ohne Instrumente) folgenden Anfang: </w:t>
      </w: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Die Aussparung der letzten Silbe im darunter stehenden Text: „Requiem Aeternam dona eis Domi-“[ne], entspricht der Textverteilung im abgebildeten Partiturausschnitt. Die Choralintonation stimmt mit der gregorianischen überein.</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In der rechts wiedergegebenen Partitur erscheint ein Ausschnitt aus dem S. 21 erwähnten „Offertorium 6. Vocum in einem Cantional ingrossirt“, und zwar die Stelle, an der vom Versprechen Gottes an Abraham die Rede ist; der zu ergänzende Kontext lautet: „fac eas, Domine, de morte transire ad vitam. Quam olim Abrahae promisisti, et semini eius.“ - Allgemein zählt das Offertorium auch im Requiem zu den Teilen der Messe, die vorzugsweise musikalisch hervorgehoben werden, besonders bei feierlichen Anlässen.</w:t>
      </w: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left="284" w:firstLine="284"/>
        <w:jc w:val="both"/>
        <w:rPr>
          <w:rFonts w:ascii="Times New Roman" w:eastAsia="MS Mincho" w:hAnsi="Times New Roman" w:cs="Times New Roman"/>
          <w:sz w:val="24"/>
        </w:rPr>
      </w:pP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Die Bässe der beiden Werkfragmente lassen die gregorianischen Melodien aus der Missa pro defunctis erkennen; und zwar die ersten drei Notenzeichen aus dem Introitus zum Wort „Requiem“ im originalem sechsten Ton sowie aus dem Offertorium die Töne zu den Silben: „olim Abra-“ um eine Quarte herabtransponiert.</w:t>
      </w: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left="284" w:firstLine="284"/>
        <w:jc w:val="both"/>
        <w:rPr>
          <w:rFonts w:ascii="Times New Roman" w:eastAsia="MS Mincho" w:hAnsi="Times New Roman" w:cs="Times New Roman"/>
          <w:sz w:val="24"/>
        </w:rPr>
      </w:pP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Das aufgeschlagene Messbuch zitiert einen großen Teil des Introitus der Missa pro Defunctis: „Requiem aeternam dona eis Domine: et lux perpetua luceat [irrtümlich „luceant“] eis. Psal. 64[,1,2]. Te decet hymnus Deus in Sion, &amp; tibi reddetur [votum in Jerusalem: exaudi orationem meam, ad te omnis caro veniet].“</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37</w:t>
      </w:r>
      <w:r>
        <w:rPr>
          <w:rFonts w:ascii="Times New Roman" w:eastAsia="MS Mincho" w:hAnsi="Times New Roman" w:cs="Times New Roman"/>
          <w:sz w:val="24"/>
        </w:rPr>
        <w:tab/>
        <w:t xml:space="preserve">„Die Freud der Heer-Trummlen hat auffgehört.“ - Die „Heerpaucken“ werden hier, ähnlich der Trompete im sechsten Bild, als besondere weltliche Hoheitssymbole aufgefasst, die vom Tod gestürzt werden; s. dazu o. S. ***.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„Das Zimbel zur Wandlung mit +weißem Todtenpfeil.“ - Das Wort kreuzweise wird hier durch ein „Bilderrätsel“ versinnlicht, worin gleichzeitig ein Hinweis liegt, dass der Tod, traditionell vielfach durch den Pfeil symbolisiert (vgl. Koller, wie Anm. 41, S. 340ff.), vom Kreuz Christi „durchkreuzt“ bzw. in das ewige Leben „verwandelt“ wird, wie in der Wandlung der hl. Messe das irdische Brot in den Leib Christi. Zu denken ist dabei auch an das paulinische Wort: „Absorpta [verschlungen] est mors in victoria.“ (1Cor 15,55) Das zugehörige Gedicht auf der nächsten Seite unterstreicht diese Interpretation durch die Worte „gwünschter Gwinn“ und „vmbfangen“. Wenn auch der irdische Ton des Zimbels vergeht, so bleibt er dadurch trotzdem ein Hinweis auf die musica coelestis vel divina, die „nimmer auffhört ewiglich“ (</w:t>
      </w:r>
      <w:r>
        <w:rPr>
          <w:rFonts w:ascii="Times New Roman" w:eastAsia="MS Mincho" w:hAnsi="Times New Roman" w:cs="Times New Roman"/>
          <w:i/>
          <w:iCs/>
          <w:sz w:val="24"/>
        </w:rPr>
        <w:t>Speculum</w:t>
      </w:r>
      <w:r>
        <w:rPr>
          <w:rFonts w:ascii="Times New Roman" w:eastAsia="MS Mincho" w:hAnsi="Times New Roman" w:cs="Times New Roman"/>
          <w:sz w:val="24"/>
        </w:rPr>
        <w:t>, S. 19), bzw. auf die Auferstehung der Toten.</w:t>
      </w:r>
    </w:p>
    <w:p w:rsidR="00033488" w:rsidRDefault="00033488" w:rsidP="00033488">
      <w:pPr>
        <w:pStyle w:val="NurText"/>
        <w:spacing w:line="360" w:lineRule="auto"/>
        <w:ind w:firstLine="568"/>
        <w:jc w:val="both"/>
        <w:rPr>
          <w:rFonts w:ascii="Times New Roman" w:eastAsia="MS Mincho" w:hAnsi="Times New Roman" w:cs="Times New Roman"/>
          <w:sz w:val="24"/>
          <w:lang w:val="fr-FR"/>
        </w:rPr>
      </w:pPr>
      <w:r>
        <w:rPr>
          <w:rFonts w:ascii="Times New Roman" w:eastAsia="MS Mincho" w:hAnsi="Times New Roman" w:cs="Times New Roman"/>
          <w:sz w:val="24"/>
          <w:lang w:val="fr-FR"/>
        </w:rPr>
        <w:t>„Et defecit Tibia</w:t>
      </w:r>
      <w:proofErr w:type="gramStart"/>
      <w:r>
        <w:rPr>
          <w:rFonts w:ascii="Times New Roman" w:eastAsia="MS Mincho" w:hAnsi="Times New Roman" w:cs="Times New Roman"/>
          <w:sz w:val="24"/>
          <w:lang w:val="fr-FR"/>
        </w:rPr>
        <w:t>.“</w:t>
      </w:r>
      <w:proofErr w:type="gramEnd"/>
      <w:r>
        <w:rPr>
          <w:rFonts w:ascii="Times New Roman" w:eastAsia="MS Mincho" w:hAnsi="Times New Roman" w:cs="Times New Roman"/>
          <w:sz w:val="24"/>
          <w:lang w:val="fr-FR"/>
        </w:rPr>
        <w:t xml:space="preserve"> - 1Mac 3,45.</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38</w:t>
      </w:r>
      <w:r>
        <w:rPr>
          <w:rFonts w:ascii="Times New Roman" w:eastAsia="MS Mincho" w:hAnsi="Times New Roman" w:cs="Times New Roman"/>
          <w:sz w:val="24"/>
        </w:rPr>
        <w:tab/>
        <w:t xml:space="preserve">Zur ersten Gedichthälfte s. die vorige Bemerkung.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Das „heylig / heylig / heylig“ im Gebet knüpft an das im vorausgehenden Bild und Gedicht thematisierte Zimbel an, das nicht nur zur Wandlung, sondern auch zum Sanctus in der Messe erklingt. Hier und in der unmittelbar voraufgehenden Präfation ist ausdrücklich von der Himmelsmusik der Engelchöre die Rede, in die auch der Lobgesang der Gläubigen eingeschlossen wird und damit die Kluft (des Todes) zwischem dem dieseitigen und jenseitigen Leben in einer Art mystischer Vision überbrückt wird. (Das Sanctus spielt übrigens auch in Athanasius Kirchers </w:t>
      </w:r>
      <w:r>
        <w:rPr>
          <w:rFonts w:ascii="Times New Roman" w:eastAsia="MS Mincho" w:hAnsi="Times New Roman" w:cs="Times New Roman"/>
          <w:i/>
          <w:iCs/>
          <w:sz w:val="24"/>
        </w:rPr>
        <w:t>Musurgia universalis</w:t>
      </w:r>
      <w:r>
        <w:rPr>
          <w:rFonts w:ascii="Times New Roman" w:eastAsia="MS Mincho" w:hAnsi="Times New Roman" w:cs="Times New Roman"/>
          <w:sz w:val="24"/>
        </w:rPr>
        <w:t xml:space="preserve"> eine zentrale Rolle für die Himmelsmusik der neun Engelchöre; vgl. insbesondere das Titelblatt.)</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„Aederle“ nimmt eventuell Bezug auf die im lateinischen Gebet (S. 37) angerufenen „Sanguinolentos gressus“ (blutbefleckten Schritte).</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lastRenderedPageBreak/>
        <w:t xml:space="preserve">„... heiligen Geist in deine Händ befohlen.“ - zitiert indirekt Lc 23,46: „Pater, in manus tuas commendo spiritum meum.“ Das Zitat erscheint auch im </w:t>
      </w:r>
      <w:r>
        <w:rPr>
          <w:rFonts w:ascii="Times New Roman" w:eastAsia="MS Mincho" w:hAnsi="Times New Roman" w:cs="Times New Roman"/>
          <w:i/>
          <w:iCs/>
          <w:sz w:val="24"/>
        </w:rPr>
        <w:t>Rituale Romanum</w:t>
      </w:r>
      <w:r>
        <w:rPr>
          <w:rFonts w:ascii="Times New Roman" w:eastAsia="MS Mincho" w:hAnsi="Times New Roman" w:cs="Times New Roman"/>
          <w:sz w:val="24"/>
        </w:rPr>
        <w:t xml:space="preserve"> im Gebet De exspiratione, s.o. in den Einzelbemerkungen zu S. 24.</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39</w:t>
      </w:r>
      <w:r>
        <w:rPr>
          <w:rFonts w:ascii="Times New Roman" w:eastAsia="MS Mincho" w:hAnsi="Times New Roman" w:cs="Times New Roman"/>
          <w:sz w:val="24"/>
        </w:rPr>
        <w:tab/>
        <w:t xml:space="preserve">Zu Mensur und Scepter s.o., S.***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„nach der gerechtister Mensur, Regel vnnd Richtschnur“ - bezieht sich, wie das Zitat S. 40, auf Sap 11,21: „omnia in mensura et numero et pondere diposuisti“, eine der wichtigsten Bibelstellen zur Grundlegung des mathematischen Musikverständnisses bis zum Spätbarock, z.B. für Kircher oder Werckmeister. S. dazu Damann, </w:t>
      </w:r>
      <w:r>
        <w:rPr>
          <w:rFonts w:ascii="Times New Roman" w:eastAsia="MS Mincho" w:hAnsi="Times New Roman" w:cs="Times New Roman"/>
          <w:i/>
          <w:iCs/>
          <w:sz w:val="24"/>
        </w:rPr>
        <w:t>Der Musikbegriff im deutschen Barock</w:t>
      </w:r>
      <w:r>
        <w:rPr>
          <w:rFonts w:ascii="Times New Roman" w:eastAsia="MS Mincho" w:hAnsi="Times New Roman" w:cs="Times New Roman"/>
          <w:sz w:val="24"/>
        </w:rPr>
        <w:t xml:space="preserve">, Köln </w:t>
      </w:r>
      <w:r>
        <w:rPr>
          <w:rFonts w:ascii="Times New Roman" w:eastAsia="MS Mincho" w:hAnsi="Times New Roman" w:cs="Times New Roman"/>
          <w:sz w:val="24"/>
          <w:vertAlign w:val="superscript"/>
        </w:rPr>
        <w:t>2</w:t>
      </w:r>
      <w:r>
        <w:rPr>
          <w:rFonts w:ascii="Times New Roman" w:eastAsia="MS Mincho" w:hAnsi="Times New Roman" w:cs="Times New Roman"/>
          <w:sz w:val="24"/>
        </w:rPr>
        <w:t>1984, S. 23ff.</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40</w:t>
      </w:r>
      <w:r>
        <w:rPr>
          <w:rFonts w:ascii="Times New Roman" w:eastAsia="MS Mincho" w:hAnsi="Times New Roman" w:cs="Times New Roman"/>
          <w:sz w:val="24"/>
        </w:rPr>
        <w:tab/>
        <w:t xml:space="preserve">Das Geläut von fünf Glocken ergänzt die Altöttinger Totenglocke, die S. 25 abgebildet ist. Die Funktion der fünf Glocken führt Megerle ausdrücklich auf: 1 Pro Infantibus (Taufglocke), 2 Ad Vesperas - hierauf nimmt das Gedicht S. 39 Bezug -, 3 Rusticorum (Werktagsglocke, Uhrglocke), 4 pro Angelica Salutatione (zum Angelus-Läuten), 5 pro Incendio (Feuerglocke?). Insgesamt bedeuten die Glocken die rechte Zeit (im Sinne einer christlichen, allzeit bereiten Lebensführung), für die auch Dirigierstab und -tuch bzw. die Schriftworte zu bacculum (sic) und mensura stehen. - Keine der fünf Glocken im Nordturm der Stiftskirche ist mehr im Original erhalten.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Die Tromba marina war eines der Lieblingsinstrumente Megerles. (S. dazu Tenhaef, Abraham Megerles ... „Leibeigenschaft“ Mariens, wie Anm. 52, S. 39.) Er interpretiert sie als Tromba mariana und setzt sie unter anderem mehrfach in der </w:t>
      </w:r>
      <w:r>
        <w:rPr>
          <w:rFonts w:ascii="Times New Roman" w:eastAsia="MS Mincho" w:hAnsi="Times New Roman" w:cs="Times New Roman"/>
          <w:i/>
          <w:iCs/>
          <w:sz w:val="24"/>
        </w:rPr>
        <w:t>Psalmodia Jesu et Mariae sacra</w:t>
      </w:r>
      <w:r>
        <w:rPr>
          <w:rFonts w:ascii="Times New Roman" w:eastAsia="MS Mincho" w:hAnsi="Times New Roman" w:cs="Times New Roman"/>
          <w:sz w:val="24"/>
        </w:rPr>
        <w:t xml:space="preserve"> ein. Im Gemälde mit „vnser L. Frau in der Glory“ ist sie ostentativ vor die anderen Instrumente in den Vordergrund gerückt. - Neben der Marienverehrung spielt für Megerles Hochschätzung des Instruments seine Monochordstruktur eine Rolle. Megerle betont sie nicht nur durch den Namen, sondern auch durch die Bünde oder Markierungen auf dem Korpus, wodurch, analog zur rechten Mensur des Dirigats (s. vorige S.), die proportionierte Harmonie demonstriert wird. (Die Markierungen erscheinen realistisch proportioniert, also stetig verkürzt - vgl. auch das Trumscheit S. 47 -; misst man die Abstände genauer, so ergibt sich annähernd ein Wechsel von Oktav und Quint - z.B. c g c' g' c'' g'' -, womit die (pythagoräischen) vollkommenen Konsonanzen herausgestellt wären.)</w:t>
      </w:r>
    </w:p>
    <w:p w:rsidR="00033488" w:rsidRPr="00033488" w:rsidRDefault="00033488" w:rsidP="00033488">
      <w:pPr>
        <w:pStyle w:val="NurText"/>
        <w:spacing w:line="360" w:lineRule="auto"/>
        <w:ind w:left="284" w:firstLine="284"/>
        <w:jc w:val="both"/>
        <w:rPr>
          <w:rFonts w:ascii="Times New Roman" w:eastAsia="MS Mincho" w:hAnsi="Times New Roman" w:cs="Times New Roman"/>
          <w:sz w:val="24"/>
          <w:lang w:val="en-US"/>
        </w:rPr>
      </w:pPr>
      <w:r w:rsidRPr="00033488">
        <w:rPr>
          <w:rFonts w:ascii="Times New Roman" w:eastAsia="MS Mincho" w:hAnsi="Times New Roman" w:cs="Times New Roman"/>
          <w:sz w:val="24"/>
          <w:lang w:val="en-US"/>
        </w:rPr>
        <w:t>„Defecit tibia et Cythara</w:t>
      </w:r>
      <w:proofErr w:type="gramStart"/>
      <w:r w:rsidRPr="00033488">
        <w:rPr>
          <w:rFonts w:ascii="Times New Roman" w:eastAsia="MS Mincho" w:hAnsi="Times New Roman" w:cs="Times New Roman"/>
          <w:sz w:val="24"/>
          <w:lang w:val="en-US"/>
        </w:rPr>
        <w:t>.“</w:t>
      </w:r>
      <w:proofErr w:type="gramEnd"/>
      <w:r w:rsidRPr="00033488">
        <w:rPr>
          <w:rFonts w:ascii="Times New Roman" w:eastAsia="MS Mincho" w:hAnsi="Times New Roman" w:cs="Times New Roman"/>
          <w:sz w:val="24"/>
          <w:lang w:val="en-US"/>
        </w:rPr>
        <w:t xml:space="preserve"> - 1Mac 3</w:t>
      </w:r>
      <w:proofErr w:type="gramStart"/>
      <w:r w:rsidRPr="00033488">
        <w:rPr>
          <w:rFonts w:ascii="Times New Roman" w:eastAsia="MS Mincho" w:hAnsi="Times New Roman" w:cs="Times New Roman"/>
          <w:sz w:val="24"/>
          <w:lang w:val="en-US"/>
        </w:rPr>
        <w:t>,45</w:t>
      </w:r>
      <w:proofErr w:type="gramEnd"/>
      <w:r w:rsidRPr="00033488">
        <w:rPr>
          <w:rFonts w:ascii="Times New Roman" w:eastAsia="MS Mincho" w:hAnsi="Times New Roman" w:cs="Times New Roman"/>
          <w:sz w:val="24"/>
          <w:lang w:val="en-US"/>
        </w:rPr>
        <w:t xml:space="preserve"> (nicht 46).</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per cruentum vultum tuum Veronicae oblatum ...“ - bezieht sich auf die Legende von Veronika mit dem Schweißtuch (im Anschluss an Lc 23,27) und darüber auf das im Bild wiedergegebene Dirigiertuch („Faciletl“).</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lastRenderedPageBreak/>
        <w:t>41</w:t>
      </w:r>
      <w:r>
        <w:rPr>
          <w:rFonts w:ascii="Times New Roman" w:eastAsia="MS Mincho" w:hAnsi="Times New Roman" w:cs="Times New Roman"/>
          <w:sz w:val="24"/>
        </w:rPr>
        <w:tab/>
        <w:t>Der Kardinalshut ist auch über Megerles Wappen im Titelblatt und im Bild Nr. 2 (S. 25), außerdem im Altöttinger Epitaph dargestellt</w:t>
      </w:r>
      <w:proofErr w:type="gramStart"/>
      <w:r>
        <w:rPr>
          <w:rFonts w:ascii="Times New Roman" w:eastAsia="MS Mincho" w:hAnsi="Times New Roman" w:cs="Times New Roman"/>
          <w:sz w:val="24"/>
        </w:rPr>
        <w:t>.*</w:t>
      </w:r>
      <w:proofErr w:type="gramEnd"/>
      <w:r>
        <w:rPr>
          <w:rFonts w:ascii="Times New Roman" w:eastAsia="MS Mincho" w:hAnsi="Times New Roman" w:cs="Times New Roman"/>
          <w:sz w:val="24"/>
        </w:rPr>
        <w:t xml:space="preserve">**Funktion?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proofErr w:type="gramStart"/>
      <w:r>
        <w:rPr>
          <w:rFonts w:ascii="Times New Roman" w:eastAsia="MS Mincho" w:hAnsi="Times New Roman" w:cs="Times New Roman"/>
          <w:sz w:val="24"/>
          <w:lang w:val="it-IT"/>
        </w:rPr>
        <w:t>„Novissima hora est</w:t>
      </w:r>
      <w:proofErr w:type="gramEnd"/>
      <w:r>
        <w:rPr>
          <w:rFonts w:ascii="Times New Roman" w:eastAsia="MS Mincho" w:hAnsi="Times New Roman" w:cs="Times New Roman"/>
          <w:sz w:val="24"/>
          <w:lang w:val="it-IT"/>
        </w:rPr>
        <w:t xml:space="preserve">.“ - 1Jo 2,18 (nicht </w:t>
      </w:r>
      <w:proofErr w:type="gramStart"/>
      <w:r>
        <w:rPr>
          <w:rFonts w:ascii="Times New Roman" w:eastAsia="MS Mincho" w:hAnsi="Times New Roman" w:cs="Times New Roman"/>
          <w:sz w:val="24"/>
          <w:lang w:val="it-IT"/>
        </w:rPr>
        <w:t>15</w:t>
      </w:r>
      <w:proofErr w:type="gramEnd"/>
      <w:r>
        <w:rPr>
          <w:rFonts w:ascii="Times New Roman" w:eastAsia="MS Mincho" w:hAnsi="Times New Roman" w:cs="Times New Roman"/>
          <w:sz w:val="24"/>
          <w:lang w:val="it-IT"/>
        </w:rPr>
        <w:t xml:space="preserve">). </w:t>
      </w:r>
      <w:r>
        <w:rPr>
          <w:rFonts w:ascii="Times New Roman" w:eastAsia="MS Mincho" w:hAnsi="Times New Roman" w:cs="Times New Roman"/>
          <w:sz w:val="24"/>
        </w:rPr>
        <w:t>Die Sanduhr ist eines der häufigsten Vanitassymbole der Emblematik; s. Henkel/Schöne, Sp. 997-1000, 1081.</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lang w:val="fr-FR"/>
        </w:rPr>
        <w:t xml:space="preserve">„Et flos eius decidit“ - Jac 1,11, vgl. auch Ps </w:t>
      </w:r>
      <w:proofErr w:type="gramStart"/>
      <w:r>
        <w:rPr>
          <w:rFonts w:ascii="Times New Roman" w:eastAsia="MS Mincho" w:hAnsi="Times New Roman" w:cs="Times New Roman"/>
          <w:sz w:val="24"/>
          <w:lang w:val="fr-FR"/>
        </w:rPr>
        <w:t>102,15f.,</w:t>
      </w:r>
      <w:proofErr w:type="gramEnd"/>
      <w:r>
        <w:rPr>
          <w:rFonts w:ascii="Times New Roman" w:eastAsia="MS Mincho" w:hAnsi="Times New Roman" w:cs="Times New Roman"/>
          <w:sz w:val="24"/>
          <w:lang w:val="fr-FR"/>
        </w:rPr>
        <w:t xml:space="preserve"> Jb 14,2, Jes 40,7, 1Petr 1,24. </w:t>
      </w:r>
      <w:r>
        <w:rPr>
          <w:rFonts w:ascii="Times New Roman" w:eastAsia="MS Mincho" w:hAnsi="Times New Roman" w:cs="Times New Roman"/>
          <w:sz w:val="24"/>
        </w:rPr>
        <w:t>Die abgebildeten Blumen scheinen Rosen und Tulpen zu sein. Rosen gelten in der Emblematik unter anderem als „das wohlbekannte Symbol der Hinfälligkeit des Körpers“; s. Henkel/Schöne, wie Anm. 47, Sp. 654, 1081.</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„Exaltatum est cornu meum.“ - 1Sam 2,1 (nicht Reg).</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per atrocissimam Sanguineae vestis tuae extractionem ...“ - erinnert daran, wie Jesus seines „blutroten“ Kleides beraubt wurde (Mt 27,35), auch an seine Verspottung im „Purpurmantel“ (Mt 27,28ff.) und steht darüber in Beziehung zum Bildthema des (roten) Kardinalshutes.</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42</w:t>
      </w:r>
      <w:r>
        <w:rPr>
          <w:rFonts w:ascii="Times New Roman" w:eastAsia="MS Mincho" w:hAnsi="Times New Roman" w:cs="Times New Roman"/>
          <w:sz w:val="24"/>
        </w:rPr>
        <w:tab/>
        <w:t xml:space="preserve">„Der Cardinal-Huet muß auch d'ran“ - Im Aufzug der Stände innerhalb des Totentanzes spielt der Kardinal mit seinem Hut traditionell eine große Rolle (s. Koller, wie Anm. 41, Register).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Der Hut, im Bild zwischen Reisuhr und Blume, wird auch im Gedicht mit denselben Vanitassymbolen versehen.</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„Wann d'Raißvhr ist außgloffen“ = ausgelaufen; vgl. ähnliche Formulierungen, zitiert in Johann Andreas Schmeller, </w:t>
      </w:r>
      <w:r>
        <w:rPr>
          <w:rFonts w:ascii="Times New Roman" w:eastAsia="MS Mincho" w:hAnsi="Times New Roman" w:cs="Times New Roman"/>
          <w:i/>
          <w:iCs/>
          <w:sz w:val="24"/>
        </w:rPr>
        <w:t>Bayerisches Wörterbuch</w:t>
      </w:r>
      <w:r>
        <w:rPr>
          <w:rFonts w:ascii="Times New Roman" w:eastAsia="MS Mincho" w:hAnsi="Times New Roman" w:cs="Times New Roman"/>
          <w:sz w:val="24"/>
        </w:rPr>
        <w:t>, München 1872-1877, II,143: „Die Reis-Ur ist schon völlig ausgeloffen.“ oder „Wann die Reißuhr ausgeloffen, ist alsdann kein Freud zu hoffen“. Vgl. auch Koller, wie Anm. 41, S. 352.</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„verschloffen“ = verschlupft (schlüpfend verborgen)</w:t>
      </w:r>
    </w:p>
    <w:p w:rsidR="00033488" w:rsidRDefault="00033488" w:rsidP="00033488">
      <w:pPr>
        <w:pStyle w:val="NurText"/>
        <w:spacing w:line="360" w:lineRule="auto"/>
        <w:ind w:left="568"/>
        <w:jc w:val="both"/>
        <w:rPr>
          <w:rFonts w:ascii="Times New Roman" w:eastAsia="MS Mincho" w:hAnsi="Times New Roman" w:cs="Times New Roman"/>
          <w:sz w:val="24"/>
        </w:rPr>
      </w:pPr>
      <w:r>
        <w:rPr>
          <w:rFonts w:ascii="Times New Roman" w:eastAsia="MS Mincho" w:hAnsi="Times New Roman" w:cs="Times New Roman"/>
          <w:sz w:val="24"/>
        </w:rPr>
        <w:t xml:space="preserve">„schutzt“ - schießt, stößt, (&gt;Schutz als alemannische Nebenform von Schuss; vgl. </w:t>
      </w:r>
      <w:r>
        <w:rPr>
          <w:rFonts w:ascii="Times New Roman" w:eastAsia="MS Mincho" w:hAnsi="Times New Roman" w:cs="Times New Roman"/>
          <w:i/>
          <w:iCs/>
          <w:sz w:val="24"/>
        </w:rPr>
        <w:t>Grimms Deutsches Wörterbuch</w:t>
      </w:r>
      <w:r>
        <w:rPr>
          <w:rFonts w:ascii="Times New Roman" w:eastAsia="MS Mincho" w:hAnsi="Times New Roman" w:cs="Times New Roman"/>
          <w:sz w:val="24"/>
        </w:rPr>
        <w:t>, IX</w:t>
      </w:r>
      <w:proofErr w:type="gramStart"/>
      <w:r>
        <w:rPr>
          <w:rFonts w:ascii="Times New Roman" w:eastAsia="MS Mincho" w:hAnsi="Times New Roman" w:cs="Times New Roman"/>
          <w:sz w:val="24"/>
        </w:rPr>
        <w:t>,2122</w:t>
      </w:r>
      <w:proofErr w:type="gramEnd"/>
      <w:r>
        <w:rPr>
          <w:rFonts w:ascii="Times New Roman" w:eastAsia="MS Mincho" w:hAnsi="Times New Roman" w:cs="Times New Roman"/>
          <w:sz w:val="24"/>
        </w:rPr>
        <w:t>).</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Das Gebet greift auf die traditionellen Netz- und Waffenmetaphern des Todes zurück (s. dazu Koller, wie Anm. 41, S. 343f.) und lässt im </w:t>
      </w:r>
      <w:proofErr w:type="gramStart"/>
      <w:r>
        <w:rPr>
          <w:rFonts w:ascii="Times New Roman" w:eastAsia="MS Mincho" w:hAnsi="Times New Roman" w:cs="Times New Roman"/>
          <w:sz w:val="24"/>
        </w:rPr>
        <w:t>weiteren</w:t>
      </w:r>
      <w:proofErr w:type="gramEnd"/>
      <w:r>
        <w:rPr>
          <w:rFonts w:ascii="Times New Roman" w:eastAsia="MS Mincho" w:hAnsi="Times New Roman" w:cs="Times New Roman"/>
          <w:sz w:val="24"/>
        </w:rPr>
        <w:t xml:space="preserve"> die Ständeordnung des Totentanzes anklingen. Die Angst vor dem jähen Tod entspringt aus der christlichen Sorge, ohne Sakramente und Tröstungen der Kirche zu sterben. - Die „vier letzte Ding“, quatuor novissima, sind, nach </w:t>
      </w:r>
      <w:r>
        <w:rPr>
          <w:rFonts w:ascii="Times New Roman" w:eastAsia="MS Mincho" w:hAnsi="Times New Roman" w:cs="Times New Roman"/>
          <w:i/>
          <w:iCs/>
          <w:sz w:val="24"/>
        </w:rPr>
        <w:t>Zedlers Universallexikon</w:t>
      </w:r>
      <w:r>
        <w:rPr>
          <w:rFonts w:ascii="Times New Roman" w:eastAsia="MS Mincho" w:hAnsi="Times New Roman" w:cs="Times New Roman"/>
          <w:sz w:val="24"/>
        </w:rPr>
        <w:t xml:space="preserve"> (Halle/Leipzig 1732ff., XXIV,1535f.), für die meisten Theologen der „Tod, die Auferstehung, das Gerichte, und Ende der Welt, Himmel und Hölle; andere aber setzen den Jüngsten Tag, die Auferstehung, das Gericht und Ende der Welt ..., darauf die Ewigkeit erfolge ...“; s. ebd. die zahlreichen Literaturangaben dazu, u.a. „Nic. Denyse </w:t>
      </w:r>
      <w:r>
        <w:rPr>
          <w:rFonts w:ascii="Times New Roman" w:eastAsia="MS Mincho" w:hAnsi="Times New Roman" w:cs="Times New Roman"/>
          <w:i/>
          <w:iCs/>
          <w:sz w:val="24"/>
        </w:rPr>
        <w:t xml:space="preserve">Speculum Mortalium seu Commentarius super IV. </w:t>
      </w:r>
      <w:r>
        <w:rPr>
          <w:rFonts w:ascii="Times New Roman" w:eastAsia="MS Mincho" w:hAnsi="Times New Roman" w:cs="Times New Roman"/>
          <w:i/>
          <w:iCs/>
          <w:sz w:val="24"/>
          <w:lang w:val="fr-FR"/>
        </w:rPr>
        <w:t>Novissimis</w:t>
      </w:r>
      <w:r>
        <w:rPr>
          <w:rFonts w:ascii="Times New Roman" w:eastAsia="MS Mincho" w:hAnsi="Times New Roman" w:cs="Times New Roman"/>
          <w:sz w:val="24"/>
          <w:lang w:val="fr-FR"/>
        </w:rPr>
        <w:t xml:space="preserve">, Paris 1509“ oder „Rob. </w:t>
      </w:r>
      <w:r>
        <w:rPr>
          <w:rFonts w:ascii="Times New Roman" w:eastAsia="MS Mincho" w:hAnsi="Times New Roman" w:cs="Times New Roman"/>
          <w:sz w:val="24"/>
        </w:rPr>
        <w:t xml:space="preserve">Bolton </w:t>
      </w:r>
      <w:r>
        <w:rPr>
          <w:rFonts w:ascii="Times New Roman" w:eastAsia="MS Mincho" w:hAnsi="Times New Roman" w:cs="Times New Roman"/>
          <w:i/>
          <w:iCs/>
          <w:sz w:val="24"/>
        </w:rPr>
        <w:t>Spiegel der IV. letzten Dinge</w:t>
      </w:r>
      <w:r>
        <w:rPr>
          <w:rFonts w:ascii="Times New Roman" w:eastAsia="MS Mincho" w:hAnsi="Times New Roman" w:cs="Times New Roman"/>
          <w:sz w:val="24"/>
        </w:rPr>
        <w:t>, Franckf. 1673“.</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lastRenderedPageBreak/>
        <w:t>43</w:t>
      </w:r>
      <w:r>
        <w:rPr>
          <w:rFonts w:ascii="Times New Roman" w:eastAsia="MS Mincho" w:hAnsi="Times New Roman" w:cs="Times New Roman"/>
          <w:sz w:val="24"/>
        </w:rPr>
        <w:tab/>
        <w:t xml:space="preserve">Das Gedicht bringt den weltlichen Ruhm des Autors zum Ausdruck. „Habs mit eim dörffen wagen“ - gleichsam im ritterlichen Kampfturnier; betont, wie die „Reichs-Adelige Helmdeck“, Megerles Nobilität.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Zur Pause als Todessymbol vgl. auch </w:t>
      </w:r>
      <w:r>
        <w:rPr>
          <w:rFonts w:ascii="Times New Roman" w:eastAsia="MS Mincho" w:hAnsi="Times New Roman" w:cs="Times New Roman"/>
          <w:i/>
          <w:iCs/>
          <w:sz w:val="24"/>
        </w:rPr>
        <w:t xml:space="preserve">Speculum </w:t>
      </w:r>
      <w:r>
        <w:rPr>
          <w:rFonts w:ascii="Times New Roman" w:eastAsia="MS Mincho" w:hAnsi="Times New Roman" w:cs="Times New Roman"/>
          <w:sz w:val="24"/>
        </w:rPr>
        <w:t xml:space="preserve">S. 38. In Abrahams a Sancta Clara </w:t>
      </w:r>
      <w:r>
        <w:rPr>
          <w:rFonts w:ascii="Times New Roman" w:eastAsia="MS Mincho" w:hAnsi="Times New Roman" w:cs="Times New Roman"/>
          <w:i/>
          <w:iCs/>
          <w:sz w:val="24"/>
        </w:rPr>
        <w:t>Epitome</w:t>
      </w:r>
      <w:r>
        <w:rPr>
          <w:rFonts w:ascii="Times New Roman" w:eastAsia="MS Mincho" w:hAnsi="Times New Roman" w:cs="Times New Roman"/>
          <w:sz w:val="24"/>
        </w:rPr>
        <w:t xml:space="preserve"> (wie Anm. 4, S. 462) pausiert dagegen nicht das Leben, sondern der Tod, bevor er schließlich seine „schwarze Note“ singt.</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„durch die Musicalische Instrumenten / vnd lustigen Trompetenklang“ - Die gesonderte Aufführung der Trompeten entspricht der traditionellen Sonderstellung der (nur Adeligen zustehenden) Trompeter (und Pauker). Den weit schallenden und rühmenden Trompetenton als hervorragendes Klangideal des Hochbarock scheint Megerle auch auf seine „Stimm“ zu beziehen, mit der er das Lob Gottes „in der gantzen Welt außbraiten“ will (in Analogie zu Ps 18,5: „in omnem terram exivit sonus eorum et in finibus orbis verba eorum“).</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lang w:val="it-IT"/>
        </w:rPr>
        <w:t>44</w:t>
      </w:r>
      <w:r>
        <w:rPr>
          <w:rFonts w:ascii="Times New Roman" w:eastAsia="MS Mincho" w:hAnsi="Times New Roman" w:cs="Times New Roman"/>
          <w:sz w:val="24"/>
          <w:lang w:val="it-IT"/>
        </w:rPr>
        <w:tab/>
      </w:r>
      <w:proofErr w:type="gramStart"/>
      <w:r>
        <w:rPr>
          <w:rFonts w:ascii="Times New Roman" w:eastAsia="MS Mincho" w:hAnsi="Times New Roman" w:cs="Times New Roman"/>
          <w:sz w:val="24"/>
          <w:lang w:val="it-IT"/>
        </w:rPr>
        <w:t>„Ve</w:t>
      </w:r>
      <w:proofErr w:type="gramEnd"/>
      <w:r>
        <w:rPr>
          <w:rFonts w:ascii="Times New Roman" w:eastAsia="MS Mincho" w:hAnsi="Times New Roman" w:cs="Times New Roman"/>
          <w:sz w:val="24"/>
          <w:lang w:val="it-IT"/>
        </w:rPr>
        <w:t xml:space="preserve">rsa in luctum Cythara mea.“ </w:t>
      </w:r>
      <w:r>
        <w:rPr>
          <w:rFonts w:ascii="Times New Roman" w:eastAsia="MS Mincho" w:hAnsi="Times New Roman" w:cs="Times New Roman"/>
          <w:sz w:val="24"/>
        </w:rPr>
        <w:t xml:space="preserve">Jb 30,31, als Kapitelmotto auch in Abrahams a Sancta Clara </w:t>
      </w:r>
      <w:r>
        <w:rPr>
          <w:rFonts w:ascii="Times New Roman" w:eastAsia="MS Mincho" w:hAnsi="Times New Roman" w:cs="Times New Roman"/>
          <w:i/>
          <w:iCs/>
          <w:sz w:val="24"/>
        </w:rPr>
        <w:t>Totenkapelle</w:t>
      </w:r>
      <w:r>
        <w:rPr>
          <w:rFonts w:ascii="Times New Roman" w:eastAsia="MS Mincho" w:hAnsi="Times New Roman" w:cs="Times New Roman"/>
          <w:sz w:val="24"/>
        </w:rPr>
        <w:t xml:space="preserve">, S. 186.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per Crudelissimam in Cruce expansionem &amp; laceros artus tuos ...“ nimmt Bezug auf alle vier Passionsberichte, die Ausspannung (expansio) darüber hinaus auch auf die gespannten Saiten in drei Instrumenten des elften Bildes.</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sidRPr="00033488">
        <w:rPr>
          <w:rFonts w:ascii="Times New Roman" w:eastAsia="MS Mincho" w:hAnsi="Times New Roman" w:cs="Times New Roman"/>
          <w:sz w:val="24"/>
          <w:lang w:val="en-US"/>
        </w:rPr>
        <w:t>45</w:t>
      </w:r>
      <w:r w:rsidRPr="00033488">
        <w:rPr>
          <w:rFonts w:ascii="Times New Roman" w:eastAsia="MS Mincho" w:hAnsi="Times New Roman" w:cs="Times New Roman"/>
          <w:sz w:val="24"/>
          <w:lang w:val="en-US"/>
        </w:rPr>
        <w:tab/>
        <w:t>„Ab auditione mala non timebit</w:t>
      </w:r>
      <w:proofErr w:type="gramStart"/>
      <w:r w:rsidRPr="00033488">
        <w:rPr>
          <w:rFonts w:ascii="Times New Roman" w:eastAsia="MS Mincho" w:hAnsi="Times New Roman" w:cs="Times New Roman"/>
          <w:sz w:val="24"/>
          <w:lang w:val="en-US"/>
        </w:rPr>
        <w:t>“ -</w:t>
      </w:r>
      <w:proofErr w:type="gramEnd"/>
      <w:r w:rsidRPr="00033488">
        <w:rPr>
          <w:rFonts w:ascii="Times New Roman" w:eastAsia="MS Mincho" w:hAnsi="Times New Roman" w:cs="Times New Roman"/>
          <w:sz w:val="24"/>
          <w:lang w:val="en-US"/>
        </w:rPr>
        <w:t xml:space="preserve"> Ps 111,7.  </w:t>
      </w:r>
      <w:r>
        <w:rPr>
          <w:rFonts w:ascii="Times New Roman" w:eastAsia="MS Mincho" w:hAnsi="Times New Roman" w:cs="Times New Roman"/>
          <w:sz w:val="24"/>
        </w:rPr>
        <w:t>Der ganze Vers lautet: „Vor schlimmer Kunde wird er [der Gerechte] sich nicht fürchten; sein Herz hofft unverzagt auf den Herrn.“, enthält also eine positive Verheißung; gleichzeitig macht Megerle mit diesem Zitat aber die Sackpfeiff als ein in der polyphonen Musik unbrauchbares und darum seit dem Mittelalter abgesunkenes Instrument verächtlich, in ähnlicher Weise die (Dreh-)Leyer, die auch Praetorius, sich auf Virdung berufend, unter die „LumpenInstrumenta“ zählt (</w:t>
      </w:r>
      <w:r>
        <w:rPr>
          <w:rFonts w:ascii="Times New Roman" w:eastAsia="MS Mincho" w:hAnsi="Times New Roman" w:cs="Times New Roman"/>
          <w:i/>
          <w:iCs/>
          <w:sz w:val="24"/>
        </w:rPr>
        <w:t>Syntagma musicum</w:t>
      </w:r>
      <w:r>
        <w:rPr>
          <w:rFonts w:ascii="Times New Roman" w:eastAsia="MS Mincho" w:hAnsi="Times New Roman" w:cs="Times New Roman"/>
          <w:sz w:val="24"/>
        </w:rPr>
        <w:t xml:space="preserve"> II, wie Anm. 124, S. 79). Die häufige Bezeichnung Bock für die oft mit Bockshörnern versehene Sackpfeife verweist das Instrument darüber hinaus in den diabolischen Bereich, der mit „bösem Gehör“ der musica coelestis der Engel gegenübersteht. Entsprechend schreibt Abraham a Sancta Clara in der </w:t>
      </w:r>
      <w:r>
        <w:rPr>
          <w:rFonts w:ascii="Times New Roman" w:eastAsia="MS Mincho" w:hAnsi="Times New Roman" w:cs="Times New Roman"/>
          <w:i/>
          <w:iCs/>
          <w:sz w:val="24"/>
        </w:rPr>
        <w:t xml:space="preserve">Totenkapelle </w:t>
      </w:r>
      <w:r>
        <w:rPr>
          <w:rFonts w:ascii="Times New Roman" w:eastAsia="MS Mincho" w:hAnsi="Times New Roman" w:cs="Times New Roman"/>
          <w:sz w:val="24"/>
        </w:rPr>
        <w:t xml:space="preserve">über Tanz und Tod von Leuten, die sich aus dieser Welt hinaustanzen, „dahin, da die Teufel auf dem Gesimse tanzen und der Vizlipuzli nebst seinen Kameraden auf dem Bock blasen, dass sie ganz schwarz werden“; S. 130. Zur mittelalterlichen Tradition der Höllenmusik s. Hammerstein, wie Anm. 119, S. </w:t>
      </w:r>
      <w:proofErr w:type="gramStart"/>
      <w:r>
        <w:rPr>
          <w:rFonts w:ascii="Times New Roman" w:eastAsia="MS Mincho" w:hAnsi="Times New Roman" w:cs="Times New Roman"/>
          <w:sz w:val="24"/>
        </w:rPr>
        <w:t>102ff.;</w:t>
      </w:r>
      <w:proofErr w:type="gramEnd"/>
      <w:r>
        <w:rPr>
          <w:rFonts w:ascii="Times New Roman" w:eastAsia="MS Mincho" w:hAnsi="Times New Roman" w:cs="Times New Roman"/>
          <w:sz w:val="24"/>
        </w:rPr>
        <w:t xml:space="preserve"> zur sozialen Abwertung bzw. Diabolisierung von Drehleier und Dudelsack s. Emanuel Winternitz, </w:t>
      </w:r>
      <w:r>
        <w:rPr>
          <w:rFonts w:ascii="Times New Roman" w:eastAsia="MS Mincho" w:hAnsi="Times New Roman" w:cs="Times New Roman"/>
          <w:i/>
          <w:iCs/>
          <w:sz w:val="24"/>
        </w:rPr>
        <w:t>Musical Instruments and their Symbolism in Western Art</w:t>
      </w:r>
      <w:r>
        <w:rPr>
          <w:rFonts w:ascii="Times New Roman" w:eastAsia="MS Mincho" w:hAnsi="Times New Roman" w:cs="Times New Roman"/>
          <w:sz w:val="24"/>
        </w:rPr>
        <w:t xml:space="preserve">, London 1967, S. 66ff., insbesondere S. 74ff.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Zu Megerles Devise  s.o. S.***. Sie verbindet sich traditionell mit dem Wappen zur Imprese und stellt sozusagen ein Emblem in nuce dar.</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lastRenderedPageBreak/>
        <w:t xml:space="preserve">Über die Bedeutung des Wappens rätselt schon Abraham a Sancta Clara; in der </w:t>
      </w:r>
      <w:r>
        <w:rPr>
          <w:rFonts w:ascii="Times New Roman" w:eastAsia="MS Mincho" w:hAnsi="Times New Roman" w:cs="Times New Roman"/>
          <w:i/>
          <w:iCs/>
          <w:sz w:val="24"/>
        </w:rPr>
        <w:t>Epitome</w:t>
      </w:r>
      <w:r>
        <w:rPr>
          <w:rFonts w:ascii="Times New Roman" w:eastAsia="MS Mincho" w:hAnsi="Times New Roman" w:cs="Times New Roman"/>
          <w:sz w:val="24"/>
        </w:rPr>
        <w:t xml:space="preserve"> (wie Anm. 4, S. 460f.) erklärt er die beiden Kirchen als Megerles Doppelkanonikat in Salzburg und Altötting, die schwarzgesichtige Figur als die Altöttinger Madonna. (Vgl. auch Bertsches Bemerkung dazu ebd., S. 454.) Das Konzept zum Adelsdiplom von 1652 spricht nur von zwei Kirchen und „Moren Mandl“ mit „weiss oder Silberfarben Zirkel“ (wiedergegeben bei Albert, S. 120)</w:t>
      </w:r>
      <w:proofErr w:type="gramStart"/>
      <w:r>
        <w:rPr>
          <w:rFonts w:ascii="Times New Roman" w:eastAsia="MS Mincho" w:hAnsi="Times New Roman" w:cs="Times New Roman"/>
          <w:sz w:val="24"/>
        </w:rPr>
        <w:t>.*</w:t>
      </w:r>
      <w:proofErr w:type="gramEnd"/>
      <w:r>
        <w:rPr>
          <w:rFonts w:ascii="Times New Roman" w:eastAsia="MS Mincho" w:hAnsi="Times New Roman" w:cs="Times New Roman"/>
          <w:sz w:val="24"/>
        </w:rPr>
        <w:t xml:space="preserve">** Vgl. zur Wappendeutung auch Anton Schmid, wie Anm. 18, S. 132f. und Konrad Gröber, „Abraham Megerle. Ein Beitrag zur Biographie des P. Abraham a S. Clara“, in: </w:t>
      </w:r>
      <w:r>
        <w:rPr>
          <w:rFonts w:ascii="Times New Roman" w:eastAsia="MS Mincho" w:hAnsi="Times New Roman" w:cs="Times New Roman"/>
          <w:i/>
          <w:iCs/>
          <w:sz w:val="24"/>
        </w:rPr>
        <w:t>Literarische Beilage zur Augsburger Postzeitung</w:t>
      </w:r>
      <w:r>
        <w:rPr>
          <w:rFonts w:ascii="Times New Roman" w:eastAsia="MS Mincho" w:hAnsi="Times New Roman" w:cs="Times New Roman"/>
          <w:sz w:val="24"/>
        </w:rPr>
        <w:t>, 15.6.1911, S. 210.</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Die Antithese von vergänglicher „Leyer“ und ewigem „Psalter“ folgt einer bis auf die Kirchenväter zurückgehenden (und noch in Victor Hugos </w:t>
      </w:r>
      <w:r>
        <w:rPr>
          <w:rFonts w:ascii="Times New Roman" w:eastAsia="MS Mincho" w:hAnsi="Times New Roman" w:cs="Times New Roman"/>
          <w:i/>
          <w:iCs/>
          <w:sz w:val="24"/>
        </w:rPr>
        <w:t>La Lyre et la Harpe</w:t>
      </w:r>
      <w:r>
        <w:rPr>
          <w:rFonts w:ascii="Times New Roman" w:eastAsia="MS Mincho" w:hAnsi="Times New Roman" w:cs="Times New Roman"/>
          <w:sz w:val="24"/>
        </w:rPr>
        <w:t xml:space="preserve"> wirksamen) Tradition, nach der die heidnische Lyra oder Kithara (Apolls oder Orpheus) durch das christliche Psalterion ersetzt wird. (S. dazu Hans Joachim Zingel, „Die Harfe als Symbol und allegorisches Attribut“, in: </w:t>
      </w:r>
      <w:r>
        <w:rPr>
          <w:rFonts w:ascii="Times New Roman" w:eastAsia="MS Mincho" w:hAnsi="Times New Roman" w:cs="Times New Roman"/>
          <w:i/>
          <w:iCs/>
          <w:sz w:val="24"/>
        </w:rPr>
        <w:t xml:space="preserve">Die Musikforschung </w:t>
      </w:r>
      <w:r>
        <w:rPr>
          <w:rFonts w:ascii="Times New Roman" w:eastAsia="MS Mincho" w:hAnsi="Times New Roman" w:cs="Times New Roman"/>
          <w:sz w:val="24"/>
        </w:rPr>
        <w:t>10 (1957), S. 41ff.)</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46</w:t>
      </w:r>
      <w:r>
        <w:rPr>
          <w:rFonts w:ascii="Times New Roman" w:eastAsia="MS Mincho" w:hAnsi="Times New Roman" w:cs="Times New Roman"/>
          <w:sz w:val="24"/>
        </w:rPr>
        <w:tab/>
        <w:t xml:space="preserve">„Der Music Doctor Kappen“ - vgl. </w:t>
      </w:r>
      <w:r>
        <w:rPr>
          <w:rFonts w:ascii="Times New Roman" w:eastAsia="MS Mincho" w:hAnsi="Times New Roman" w:cs="Times New Roman"/>
          <w:i/>
          <w:iCs/>
          <w:sz w:val="24"/>
        </w:rPr>
        <w:t>Speculum</w:t>
      </w:r>
      <w:r>
        <w:rPr>
          <w:rFonts w:ascii="Times New Roman" w:eastAsia="MS Mincho" w:hAnsi="Times New Roman" w:cs="Times New Roman"/>
          <w:sz w:val="24"/>
        </w:rPr>
        <w:t xml:space="preserve"> S. 20 und 32 mit Einzelbemerkungen.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„Vil hundert tausent Noten g'macht“ - Wenn Megerles Angaben über seine 1486 bzw. 2000 und mehr musikalischen Werke zutreffen, dürfte auch diese Angabe keine Übertreibung sein. (S.o. zu S. 22) Megerle versteht das Schreiben jeder Note als Gebet - man denke an das „Soli Deo Gloria“ in den Handschriften J.S. Bachs -, ja weitet im anschließenden Gebet die Perspektive auf die Noten aller Musikanten aus, um so den unendlichen Lobpreis Gottes auf Erden und im Himmel anschaulich zu machen.</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47</w:t>
      </w:r>
      <w:r>
        <w:rPr>
          <w:rFonts w:ascii="Times New Roman" w:eastAsia="MS Mincho" w:hAnsi="Times New Roman" w:cs="Times New Roman"/>
          <w:sz w:val="24"/>
        </w:rPr>
        <w:tab/>
        <w:t xml:space="preserve">Die Instrumentendarstellungen unterscheiden sich teilweise in Einzelheiten von denen der ersten zwölf Bilder; z.B. hat die Gitarre acht statt sechs Saiten (S. 44). (Beides entspricht nicht der fünfchörigen Norm.)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per lanceam Sacro tuo cruore tinctam ...“ nimmt Bezug auf Jo 19,34 und die daran (in Verbindung mit Mt 27,54, Mc 15,39 und Lc 23,47) anknüpfende Longinus-Legende.</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48</w:t>
      </w:r>
      <w:r>
        <w:rPr>
          <w:rFonts w:ascii="Times New Roman" w:eastAsia="MS Mincho" w:hAnsi="Times New Roman" w:cs="Times New Roman"/>
          <w:sz w:val="24"/>
        </w:rPr>
        <w:tab/>
        <w:t xml:space="preserve">„Stillschweigend hört mich in gebür“ - Noch einmal verwendet Megerle die Todesmetapher des Pausierens in der Musik; vgl.o. S. 38 und 43.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„Wo gern man mich wird h”ren.“ - Megerle setzte auch im </w:t>
      </w:r>
      <w:r>
        <w:rPr>
          <w:rFonts w:ascii="Times New Roman" w:eastAsia="MS Mincho" w:hAnsi="Times New Roman" w:cs="Times New Roman"/>
          <w:i/>
          <w:iCs/>
          <w:sz w:val="24"/>
        </w:rPr>
        <w:t>Beylag zu meinem Testament</w:t>
      </w:r>
      <w:r>
        <w:rPr>
          <w:rFonts w:ascii="Times New Roman" w:eastAsia="MS Mincho" w:hAnsi="Times New Roman" w:cs="Times New Roman"/>
          <w:sz w:val="24"/>
        </w:rPr>
        <w:t xml:space="preserve"> vergeblich darauf, dass nach seinem Tod ein Interesse an seinen Kompositionen - diese sind hier wohl über die Instrumente hinaus gemeint - weiter bestehe; s. ebd. 13f. und 31. S.</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„Ich sih das alles Eytel ist ...“ - greift zurück auf S. 12.</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(49) Diese und die folgenden unpaginierten Seiten geben die Epitaphe wieder, die Megerle für die Bestattung seines Körpers und seines Herzens in Altötting und Konstanz schon zu Lebzeiten </w:t>
      </w:r>
      <w:r>
        <w:rPr>
          <w:rFonts w:ascii="Times New Roman" w:eastAsia="MS Mincho" w:hAnsi="Times New Roman" w:cs="Times New Roman"/>
          <w:sz w:val="24"/>
        </w:rPr>
        <w:lastRenderedPageBreak/>
        <w:t xml:space="preserve">anfertigen ließ. Im </w:t>
      </w:r>
      <w:r>
        <w:rPr>
          <w:rFonts w:ascii="Times New Roman" w:eastAsia="MS Mincho" w:hAnsi="Times New Roman" w:cs="Times New Roman"/>
          <w:i/>
          <w:iCs/>
          <w:sz w:val="24"/>
        </w:rPr>
        <w:t>Beylag</w:t>
      </w:r>
      <w:r>
        <w:rPr>
          <w:rFonts w:ascii="Times New Roman" w:eastAsia="MS Mincho" w:hAnsi="Times New Roman" w:cs="Times New Roman"/>
          <w:sz w:val="24"/>
        </w:rPr>
        <w:t xml:space="preserve"> gibt er dazu ausführliche testamentarische Anweisungen, zunächst 4f. S.: </w:t>
      </w:r>
    </w:p>
    <w:p w:rsidR="00033488" w:rsidRDefault="00033488" w:rsidP="00033488">
      <w:pPr>
        <w:pStyle w:val="NurText"/>
        <w:ind w:left="424"/>
        <w:jc w:val="both"/>
        <w:rPr>
          <w:rFonts w:ascii="Times New Roman" w:eastAsia="MS Mincho" w:hAnsi="Times New Roman" w:cs="Times New Roman"/>
          <w:sz w:val="24"/>
        </w:rPr>
      </w:pPr>
      <w:r>
        <w:rPr>
          <w:rFonts w:ascii="Times New Roman" w:eastAsia="MS Mincho" w:hAnsi="Times New Roman" w:cs="Times New Roman"/>
          <w:sz w:val="24"/>
        </w:rPr>
        <w:t>„Dass Testament sagt, dz ich wolle in der Collegiatkhirch begraben werden, nemblich hinder der Sacristeythür, in der andern, oder driten feldtung, wo die gehaimbnuß taflen des heyl. Rosenkhranzes hangen, mitten under dem [?] solte mein Epitaphium gesezt werden, villeicht würdt es nottwendtig sein, ein flaches Meyrl zu fiehren under dem Poden, mit einem flachen Zieglstain, damit dz Epitaphium nit sinckhe, darzue der Schmidt, khlampfern machen muß, es würdt auch erfordern, dz man vom poden auf ein nit gar halbes gätter von Eisen machen lasse, oben her mit spizlen, dass die Paurn nit darauf sizen, und die fahnentrager dz Epitaphium von unden auf nit verlözten,in welches mann vorhero mueß einhauen den tag und dz Jahr meines ableibens, und weil ich gleich daran begraben wirdt, legt man ein anderhalb schuechiges Staindl auf dz grab, auf welchem steht geschriben, wie folget, Corpus Abrahami Megerle, cuius cor Constantiae requiescit, wan es aber an bemeltem orth nit sein khundt, solt mann meinen todten Cörper härt an dem antritt, wo man in die stifft Sacristey gehet, begraben, und dz bemelte Staindl mitten under an den stainen ein: oder antritt legen, mein Epitaphium aber khundt mann hinyber auf dz Meyrl an die Ruckhhwandt des chorstuels aufsezen, so brauchts khain Gatter, oder man miessets entlich auf aintretendere seyten neben der Sacristeythür sezen [...]“</w:t>
      </w:r>
    </w:p>
    <w:p w:rsidR="00033488" w:rsidRDefault="00033488" w:rsidP="00033488">
      <w:pPr>
        <w:pStyle w:val="NurText"/>
        <w:ind w:left="284" w:firstLine="284"/>
        <w:jc w:val="both"/>
        <w:rPr>
          <w:rFonts w:ascii="Times New Roman" w:eastAsia="MS Mincho" w:hAnsi="Times New Roman" w:cs="Times New Roman"/>
          <w:sz w:val="24"/>
        </w:rPr>
      </w:pPr>
    </w:p>
    <w:p w:rsidR="00033488" w:rsidRDefault="00033488" w:rsidP="00033488">
      <w:pPr>
        <w:pStyle w:val="NurText"/>
        <w:spacing w:line="360" w:lineRule="auto"/>
        <w:ind w:left="284" w:firstLine="140"/>
        <w:jc w:val="both"/>
        <w:rPr>
          <w:rFonts w:ascii="Times New Roman" w:eastAsia="MS Mincho" w:hAnsi="Times New Roman" w:cs="Times New Roman"/>
          <w:sz w:val="24"/>
        </w:rPr>
      </w:pPr>
      <w:r>
        <w:rPr>
          <w:rFonts w:ascii="Times New Roman" w:eastAsia="MS Mincho" w:hAnsi="Times New Roman" w:cs="Times New Roman"/>
          <w:sz w:val="24"/>
        </w:rPr>
        <w:t xml:space="preserve">Auf der 20. S. des </w:t>
      </w:r>
      <w:r>
        <w:rPr>
          <w:rFonts w:ascii="Times New Roman" w:eastAsia="MS Mincho" w:hAnsi="Times New Roman" w:cs="Times New Roman"/>
          <w:i/>
          <w:iCs/>
          <w:sz w:val="24"/>
        </w:rPr>
        <w:t>Beylag</w:t>
      </w:r>
      <w:r>
        <w:rPr>
          <w:rFonts w:ascii="Times New Roman" w:eastAsia="MS Mincho" w:hAnsi="Times New Roman" w:cs="Times New Roman"/>
          <w:sz w:val="24"/>
        </w:rPr>
        <w:t xml:space="preserve"> kommt Megerle noch einmal auf das „grabgätter“ zu sprechen, für das er „alles alte Eisen“ aus seinem väterlichen Erbe - sein Vater war Schmied - verwendet haben will.</w:t>
      </w:r>
    </w:p>
    <w:p w:rsidR="00033488" w:rsidRDefault="00033488" w:rsidP="00033488">
      <w:pPr>
        <w:pStyle w:val="NurText"/>
        <w:spacing w:line="360" w:lineRule="auto"/>
        <w:ind w:firstLine="424"/>
        <w:jc w:val="both"/>
        <w:rPr>
          <w:rFonts w:ascii="Times New Roman" w:eastAsia="MS Mincho" w:hAnsi="Times New Roman" w:cs="Times New Roman"/>
          <w:sz w:val="24"/>
        </w:rPr>
      </w:pPr>
      <w:r>
        <w:rPr>
          <w:rFonts w:ascii="Times New Roman" w:eastAsia="MS Mincho" w:hAnsi="Times New Roman" w:cs="Times New Roman"/>
          <w:sz w:val="24"/>
        </w:rPr>
        <w:t xml:space="preserve">Auf der 16. S. des </w:t>
      </w:r>
      <w:r>
        <w:rPr>
          <w:rFonts w:ascii="Times New Roman" w:eastAsia="MS Mincho" w:hAnsi="Times New Roman" w:cs="Times New Roman"/>
          <w:i/>
          <w:iCs/>
          <w:sz w:val="24"/>
        </w:rPr>
        <w:t>Beylag</w:t>
      </w:r>
      <w:r>
        <w:rPr>
          <w:rFonts w:ascii="Times New Roman" w:eastAsia="MS Mincho" w:hAnsi="Times New Roman" w:cs="Times New Roman"/>
          <w:sz w:val="24"/>
        </w:rPr>
        <w:t xml:space="preserve"> werden verschiedene Umstände zum Epitaph näher beschrieben:</w:t>
      </w:r>
    </w:p>
    <w:p w:rsidR="00033488" w:rsidRDefault="00033488" w:rsidP="00033488">
      <w:pPr>
        <w:pStyle w:val="NurText"/>
        <w:ind w:left="425"/>
        <w:jc w:val="both"/>
        <w:rPr>
          <w:rFonts w:ascii="Times New Roman" w:eastAsia="MS Mincho" w:hAnsi="Times New Roman" w:cs="Times New Roman"/>
          <w:sz w:val="24"/>
        </w:rPr>
      </w:pPr>
      <w:r>
        <w:rPr>
          <w:rFonts w:ascii="Times New Roman" w:eastAsia="MS Mincho" w:hAnsi="Times New Roman" w:cs="Times New Roman"/>
          <w:sz w:val="24"/>
        </w:rPr>
        <w:t>„2. Epitaphia seind anno 1668 geförttiget, und den 17. Merzen, dz anno nach Costanz geschickht, und in der Closterkhirch Zofingen begertermassen aufgericht worden; dass ander aber ist hir depositiert in meinem Haus so hat alles schon sein richtigkheit, ist 7. schuech hoch, und under dem leichter gemessen worden, ein anderhalb schuechiges Staindl, so dabei liget, wie vornenher schon vermelt worden, an der dritten seyten in ersten puncten.“</w:t>
      </w:r>
    </w:p>
    <w:p w:rsidR="00033488" w:rsidRDefault="00033488" w:rsidP="00033488">
      <w:pPr>
        <w:pStyle w:val="NurText"/>
        <w:spacing w:line="360" w:lineRule="auto"/>
        <w:ind w:left="284"/>
        <w:jc w:val="both"/>
        <w:rPr>
          <w:rFonts w:ascii="Times New Roman" w:eastAsia="MS Mincho" w:hAnsi="Times New Roman" w:cs="Times New Roman"/>
          <w:sz w:val="24"/>
        </w:rPr>
      </w:pPr>
    </w:p>
    <w:p w:rsidR="00033488" w:rsidRDefault="00033488" w:rsidP="00033488">
      <w:pPr>
        <w:pStyle w:val="NurText"/>
        <w:spacing w:line="360" w:lineRule="auto"/>
        <w:ind w:left="284"/>
        <w:jc w:val="both"/>
        <w:rPr>
          <w:rFonts w:ascii="Times New Roman" w:eastAsia="MS Mincho" w:hAnsi="Times New Roman" w:cs="Times New Roman"/>
          <w:sz w:val="24"/>
        </w:rPr>
      </w:pPr>
      <w:r>
        <w:rPr>
          <w:rFonts w:ascii="Times New Roman" w:eastAsia="MS Mincho" w:hAnsi="Times New Roman" w:cs="Times New Roman"/>
          <w:sz w:val="24"/>
        </w:rPr>
        <w:t xml:space="preserve">Tatsächlich befindet sich Megerles Altöttinger Epitaph (heute) nicht in oder bei der Sakristei, sondern an der Südwand des Kreuzganges. Der Text in grauem Marmor ist von rotbraunem Marmor mit barockem Zierrat gefasst. Im oberen Teil sieht man ein Reliefporträt Megerles, ähnlich dem im Titel des </w:t>
      </w:r>
      <w:r>
        <w:rPr>
          <w:rFonts w:ascii="Times New Roman" w:eastAsia="MS Mincho" w:hAnsi="Times New Roman" w:cs="Times New Roman"/>
          <w:i/>
          <w:iCs/>
          <w:sz w:val="24"/>
        </w:rPr>
        <w:t>Speculum</w:t>
      </w:r>
      <w:r>
        <w:rPr>
          <w:rFonts w:ascii="Times New Roman" w:eastAsia="MS Mincho" w:hAnsi="Times New Roman" w:cs="Times New Roman"/>
          <w:sz w:val="24"/>
        </w:rPr>
        <w:t xml:space="preserve">, im unteren sein Wappen und unter einem Protonotarhut mit zweimal sechs Quasten einen Totenschädel. Der Text ist, bis auf gewisse Abkürzungen und Ausschreibungen, identisch mit </w:t>
      </w:r>
      <w:r>
        <w:rPr>
          <w:rFonts w:ascii="Times New Roman" w:eastAsia="MS Mincho" w:hAnsi="Times New Roman" w:cs="Times New Roman"/>
          <w:i/>
          <w:iCs/>
          <w:sz w:val="24"/>
        </w:rPr>
        <w:t>Speculum</w:t>
      </w:r>
      <w:r>
        <w:rPr>
          <w:rFonts w:ascii="Times New Roman" w:eastAsia="MS Mincho" w:hAnsi="Times New Roman" w:cs="Times New Roman"/>
          <w:sz w:val="24"/>
        </w:rPr>
        <w:t xml:space="preserve"> S. (49)f. ab „Huic Thecae ...“. An den zunächst offengelassenen Stellen für das Sterbedatum ist nachträglich eingemeißelt: „Obijt die XXIX Mens. Anno M.DC.LXXX. Das Epitaph ist bei Haberl (wie Anm. 7), S. 90 abgebildet.</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„In Peregrinos ...“ - In seiner Bittschrift an den Fürstbischof Albert Sigismund schreibt Megerle, er habe „die erste 10 Jahr mit Gottes vnd Mariae beystandt 8000 Kirchfärter gespeisset, vnd hinnach alle Jahr ettlich 100.“ (wiedergegeben bei Albert, wie Anm. 4, S. 129).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lastRenderedPageBreak/>
        <w:t xml:space="preserve">(50) „Chori Musici Princeps“ - Princeps, von Megerle zweifellos bewusst gewählt, kann sowohl schlicht Führer als auch Fürst bedeuten; zu letzterem passt auch die Szeptermetapher des Dirigierstabs S. 39f. </w:t>
      </w:r>
    </w:p>
    <w:p w:rsidR="00033488" w:rsidRPr="00033488" w:rsidRDefault="00033488" w:rsidP="00033488">
      <w:pPr>
        <w:pStyle w:val="NurText"/>
        <w:spacing w:line="360" w:lineRule="auto"/>
        <w:ind w:left="284" w:firstLine="284"/>
        <w:jc w:val="both"/>
        <w:rPr>
          <w:rFonts w:ascii="Times New Roman" w:eastAsia="MS Mincho" w:hAnsi="Times New Roman" w:cs="Times New Roman"/>
          <w:sz w:val="24"/>
          <w:lang w:val="en-US"/>
        </w:rPr>
      </w:pPr>
      <w:proofErr w:type="gramStart"/>
      <w:r w:rsidRPr="00033488">
        <w:rPr>
          <w:rFonts w:ascii="Times New Roman" w:eastAsia="MS Mincho" w:hAnsi="Times New Roman" w:cs="Times New Roman"/>
          <w:i/>
          <w:iCs/>
          <w:sz w:val="24"/>
          <w:lang w:val="en-US"/>
        </w:rPr>
        <w:t>Epitome</w:t>
      </w:r>
      <w:r w:rsidRPr="00033488">
        <w:rPr>
          <w:rFonts w:ascii="Times New Roman" w:eastAsia="MS Mincho" w:hAnsi="Times New Roman" w:cs="Times New Roman"/>
          <w:sz w:val="24"/>
          <w:lang w:val="en-US"/>
        </w:rPr>
        <w:t>, wie Anm.</w:t>
      </w:r>
      <w:proofErr w:type="gramEnd"/>
      <w:r w:rsidRPr="00033488">
        <w:rPr>
          <w:rFonts w:ascii="Times New Roman" w:eastAsia="MS Mincho" w:hAnsi="Times New Roman" w:cs="Times New Roman"/>
          <w:sz w:val="24"/>
          <w:lang w:val="en-US"/>
        </w:rPr>
        <w:t xml:space="preserve"> 4, S. 458: „Emeritus phonascos inter atque Musurgos Proto-Magister docere verbo desiit, calamo coepit, sua tumentes magnitudine Tomos construxit, Libros composuit, Codices aperuit, Volumina explicavit</w:t>
      </w:r>
      <w:proofErr w:type="gramStart"/>
      <w:r w:rsidRPr="00033488">
        <w:rPr>
          <w:rFonts w:ascii="Times New Roman" w:eastAsia="MS Mincho" w:hAnsi="Times New Roman" w:cs="Times New Roman"/>
          <w:sz w:val="24"/>
          <w:lang w:val="en-US"/>
        </w:rPr>
        <w:t>.“</w:t>
      </w:r>
      <w:proofErr w:type="gramEnd"/>
    </w:p>
    <w:p w:rsidR="00033488" w:rsidRDefault="00033488" w:rsidP="00033488">
      <w:pPr>
        <w:pStyle w:val="NurText"/>
        <w:spacing w:line="360" w:lineRule="auto"/>
        <w:ind w:firstLine="568"/>
        <w:jc w:val="both"/>
        <w:rPr>
          <w:rFonts w:ascii="Times New Roman" w:eastAsia="MS Mincho" w:hAnsi="Times New Roman" w:cs="Times New Roman"/>
          <w:sz w:val="24"/>
        </w:rPr>
      </w:pPr>
      <w:r>
        <w:rPr>
          <w:rFonts w:ascii="Times New Roman" w:eastAsia="MS Mincho" w:hAnsi="Times New Roman" w:cs="Times New Roman"/>
          <w:sz w:val="24"/>
        </w:rPr>
        <w:t xml:space="preserve">„Requiem“ und „In sinu Abrahae“ - vgl. </w:t>
      </w:r>
      <w:r>
        <w:rPr>
          <w:rFonts w:ascii="Times New Roman" w:eastAsia="MS Mincho" w:hAnsi="Times New Roman" w:cs="Times New Roman"/>
          <w:i/>
          <w:iCs/>
          <w:sz w:val="24"/>
        </w:rPr>
        <w:t>Speculum</w:t>
      </w:r>
      <w:r>
        <w:rPr>
          <w:rFonts w:ascii="Times New Roman" w:eastAsia="MS Mincho" w:hAnsi="Times New Roman" w:cs="Times New Roman"/>
          <w:sz w:val="24"/>
        </w:rPr>
        <w:t>, S. 21, 28 und 36.</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„Anno M.DC.LXXII.“ - Megerle ging offenbar fest davon aus, dass er noch im Jahre 1672 sterben würde und ließ nur Monats- und Tagesdatum offen. Vgl. dazu kritischen Bericht VIII.</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(51) Unter dem Text ist ein Katafalk (castrum doloris) dargestellt.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(52) Die Jahreszahl (1668) bezieht sich nur auf die Errichtung des Epitaphs in der Zoffinger Klosterkirche. Dort ist es noch heute zu sehen. Es ist dem Altöttinger Epitaph ganz ähnlich, aber wesentlich kleiner. Der Text nimmt zunächst Bezug auf die 1654 erfolgte Stiftung einer Kopie des Altöttinger Gnadenbildes durch Megerle an das Kloster. (Darüber wird in Zoffingen im Faszikel Nr. 20 ein ausführlicher zeitgenössischer Bericht aufbewahrt.)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(53) Ab „Canonicus“ ist der Epitaphtext nahezu identisch mit dem Altöttinger (S. (49)f.). Für die letzten Zeilen verweist Megerle selbst einfach darauf. Seinen musikalischen Ruhm entfaltend kommen aber die Worte dazu: „Musices Exercitium primus Parthenoni huic invexit“, s. dazu Abraham a Sancta Claras </w:t>
      </w:r>
      <w:r>
        <w:rPr>
          <w:rFonts w:ascii="Times New Roman" w:eastAsia="MS Mincho" w:hAnsi="Times New Roman" w:cs="Times New Roman"/>
          <w:i/>
          <w:iCs/>
          <w:sz w:val="24"/>
        </w:rPr>
        <w:t>Epitome</w:t>
      </w:r>
      <w:r>
        <w:rPr>
          <w:rFonts w:ascii="Times New Roman" w:eastAsia="MS Mincho" w:hAnsi="Times New Roman" w:cs="Times New Roman"/>
          <w:sz w:val="24"/>
        </w:rPr>
        <w:t xml:space="preserve">, wie Anm. 4, S. 458f.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Das im Zoffinger Epitaph nachträglich eingemeißelte Sterbedatum lautet (irrtümlicherweise): „Obiit die I Mens May Anno M.DC.LXXXIIII.“</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(54) Im </w:t>
      </w:r>
      <w:r>
        <w:rPr>
          <w:rFonts w:ascii="Times New Roman" w:eastAsia="MS Mincho" w:hAnsi="Times New Roman" w:cs="Times New Roman"/>
          <w:i/>
          <w:iCs/>
          <w:sz w:val="24"/>
        </w:rPr>
        <w:t>Beylag</w:t>
      </w:r>
      <w:r>
        <w:rPr>
          <w:rFonts w:ascii="Times New Roman" w:eastAsia="MS Mincho" w:hAnsi="Times New Roman" w:cs="Times New Roman"/>
          <w:sz w:val="24"/>
        </w:rPr>
        <w:t xml:space="preserve">, 6ff. S., macht Megerle genaue Angaben, wie mit seinem Herzen zu verfahren sei: </w:t>
      </w:r>
    </w:p>
    <w:p w:rsidR="00033488" w:rsidRDefault="00033488" w:rsidP="00033488">
      <w:pPr>
        <w:pStyle w:val="NurText"/>
        <w:ind w:left="284"/>
        <w:jc w:val="both"/>
        <w:rPr>
          <w:rFonts w:ascii="Times New Roman" w:eastAsia="MS Mincho" w:hAnsi="Times New Roman" w:cs="Times New Roman"/>
          <w:sz w:val="24"/>
        </w:rPr>
      </w:pPr>
      <w:r>
        <w:rPr>
          <w:rFonts w:ascii="Times New Roman" w:eastAsia="MS Mincho" w:hAnsi="Times New Roman" w:cs="Times New Roman"/>
          <w:sz w:val="24"/>
        </w:rPr>
        <w:t xml:space="preserve">„Fürs Ander: In alweeg soll nach meinem ableiben durch Ihro Excellenz Herrn Franciscum Hagen wohlbestölten churfrt: Phiae Medi: Doctorn zu Altenöetting, mein todter Cörper eröffnet werden, dass herz herauß genohmen, aber dz ingegewaidt darinnen lassen, unnd dz wenigist nit herauß thüe, sondern allain dz herz, selbiges in ein zinners darzue gemachtes herz lege, welches in einem feiglfarben cardissen säckhl liget, mit päntlen, dz mans am halß hangent tragen khan, oder auf einem khrägl in dz Closter Zofingen nach Costanz, dabey ist ein khupferne khugl, die man im sackh tragen khan, dz man tag und Nacht ein liecht dabey prennen khan, aber alles in höchsten gehaimb, dann wans die Pfarrherrn wisseten, wo manns durchtraget, würden sye uncosten darauf schlagen, und ihre Pfärrliche Recht suechen, und haben wollen, sowohl zu merckhen, dz man fein still fort raise, und khaine uncosten verursache, so ist auch darbey zu finden ein feurzaigl, auf dz man dz liecht stets erhalten khan, wan mann nur bißweilen ein guetes Baumböhl khaufft, oder mitnimbt, oder es nach Costanz traget, khünt sein Vicenz [!] N. Bürger und gewester Schuester zu [?], doch würdt rhatsammer sein, man nemme den Melchior [?] Bürger und Khupferschmidt zu Neüenöetting, mit dem schon gedingt worden 3 fl: auf die raiß, oder doch gwiß die 2 fl: und dz Er den driten vom Closter empfange für die raiß zurückh nach hauß, der schon ainist anno 1673. von mir nach Zofingen geschickht worden, solt aber vorher beichten und communiciren, den man aber schwarz claiden soll, und mueß, würdt solches claidt gefunden werden, als nemblich ain schwarz Röckhl von tuech, ein ganz neües paar hosen, auch </w:t>
      </w:r>
      <w:r>
        <w:rPr>
          <w:rFonts w:ascii="Times New Roman" w:eastAsia="MS Mincho" w:hAnsi="Times New Roman" w:cs="Times New Roman"/>
          <w:sz w:val="24"/>
        </w:rPr>
        <w:lastRenderedPageBreak/>
        <w:t>von gueten schwarzen tuech, mit 2 leynene strimpff, ain weiß und ain schwarz sambt ein alt paar schuech, etliche khrägen, und ain huet von dem herrn seel:, welcher aber hinauf nit zu unsern Befreundten nach Khreenheinstetten, oder Messkhirchen raisen solt, sondern disen weeg nehmen mueß, seind von Altenötting aus 36 meil weegs. Nach München 11. von München nach Landtsberg 7 [...] underweegs soll mann zu Loreto für mich etwas bitten, und nirgents ainkheren, biß in dz Closter Zofingen, in aller still, alwo sye mit liechtern und gewohnlichen gebett solten dz herz empfangen, khan man auch die kherzen mit schickhen, so in der truhen mit Lit. T. bezaichnet ligen, alßdann auf unser lieben Frauen Altar stöllen, und schuldtiger weiß begraben, wo der Priester dz Altargebett spricht zur hayl: Meß, wann mann weiter weeges solt nach Weingartten khommen, solt mann die sach Ihro Hochwürden und Gnaden herrn Praelathen allainigen vertrauen in der still, wans noch herr P. Alphonsus Stadlmayr ist, den ich lass ansprechen umb etliche Messen mir zu Trost, der dass herz traget, solt es nie von Ihm lassen, oder legen, Er habe dann ein schlissel bey Ihm zu dem Zimmer, wo es verspört würdt ...“</w:t>
      </w: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br w:type="page"/>
      </w:r>
      <w:r>
        <w:rPr>
          <w:rFonts w:ascii="Times New Roman" w:eastAsia="MS Mincho" w:hAnsi="Times New Roman" w:cs="Times New Roman"/>
          <w:sz w:val="24"/>
        </w:rPr>
        <w:lastRenderedPageBreak/>
        <w:t>VIII. Kritischer Bericht</w:t>
      </w:r>
    </w:p>
    <w:p w:rsidR="00033488" w:rsidRDefault="00033488" w:rsidP="00033488">
      <w:pPr>
        <w:pStyle w:val="NurText"/>
        <w:spacing w:line="360" w:lineRule="auto"/>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 xml:space="preserve">Megerles </w:t>
      </w:r>
      <w:r>
        <w:rPr>
          <w:rFonts w:ascii="Times New Roman" w:eastAsia="MS Mincho" w:hAnsi="Times New Roman" w:cs="Times New Roman"/>
          <w:i/>
          <w:iCs/>
          <w:sz w:val="24"/>
        </w:rPr>
        <w:t>Speculum musico-mortuale</w:t>
      </w:r>
      <w:r>
        <w:rPr>
          <w:rFonts w:ascii="Times New Roman" w:eastAsia="MS Mincho" w:hAnsi="Times New Roman" w:cs="Times New Roman"/>
          <w:sz w:val="24"/>
        </w:rPr>
        <w:t xml:space="preserve"> ist in drei (fast) vollständigen und einem fragmentarischen Exemplar erhalten:</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1. in Altötting in der Kapuzinerbibliothek zu St. Konrad (früher in der Franziskanerbibliothek daselbst), Signatur: Musik 12o.14. </w:t>
      </w:r>
    </w:p>
    <w:p w:rsidR="00033488" w:rsidRDefault="00033488" w:rsidP="00033488">
      <w:pPr>
        <w:pStyle w:val="NurText"/>
        <w:spacing w:line="360" w:lineRule="auto"/>
        <w:ind w:left="284"/>
        <w:jc w:val="both"/>
        <w:rPr>
          <w:rFonts w:ascii="Times New Roman" w:eastAsia="MS Mincho" w:hAnsi="Times New Roman" w:cs="Times New Roman"/>
          <w:sz w:val="24"/>
        </w:rPr>
      </w:pPr>
      <w:r>
        <w:rPr>
          <w:rFonts w:ascii="Times New Roman" w:eastAsia="MS Mincho" w:hAnsi="Times New Roman" w:cs="Times New Roman"/>
          <w:sz w:val="24"/>
        </w:rPr>
        <w:t xml:space="preserve">Die originalen Seiten 13f. fehlen und sind durch Fotokopien ersetzt. - Bei durchlaufender Seitenzählung sind die Seiten 32f. mit 36f. vertauscht, ebenso 40f. mit 44f. - Über dem Titel steht handschriftlich (obere Hälfte abgeschnitten): „ad Bibl. PP. Franciscan: Veteris Oettingae“, auf der hinteren Einbandinnenseite, ebenfalls handschriftlich: „Die Eitelkheit aller Eitelkheiten und alle ding seindt Eidtel Außgennomen Gott Lieben und Ihme allein dienen  Ao. 1692  Caspar Mayr“ (vgl. </w:t>
      </w:r>
      <w:r>
        <w:rPr>
          <w:rFonts w:ascii="Times New Roman" w:eastAsia="MS Mincho" w:hAnsi="Times New Roman" w:cs="Times New Roman"/>
          <w:i/>
          <w:iCs/>
          <w:sz w:val="24"/>
        </w:rPr>
        <w:t>Speculum</w:t>
      </w:r>
      <w:r>
        <w:rPr>
          <w:rFonts w:ascii="Times New Roman" w:eastAsia="MS Mincho" w:hAnsi="Times New Roman" w:cs="Times New Roman"/>
          <w:sz w:val="24"/>
        </w:rPr>
        <w:t>, S. 12). - Als Sterbedatum ist auf der Titelseite (handschriftlich) irrtümlich eingetragen: „Obijt 1672. die 29. Maj“, im Epitaphentwurf S. (50): „Obijt die XXIX Mensis, Maii Anno M.DC.LXXII.</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2. in Konstanz im Archiv des Dominikanerinnenklosters Zoffingen; Signatur: Faszikel Nr. 20. </w:t>
      </w:r>
    </w:p>
    <w:p w:rsidR="00033488" w:rsidRDefault="00033488" w:rsidP="00033488">
      <w:pPr>
        <w:pStyle w:val="NurText"/>
        <w:spacing w:line="360" w:lineRule="auto"/>
        <w:ind w:left="284"/>
        <w:jc w:val="both"/>
        <w:rPr>
          <w:rFonts w:ascii="Times New Roman" w:eastAsia="MS Mincho" w:hAnsi="Times New Roman" w:cs="Times New Roman"/>
          <w:sz w:val="24"/>
        </w:rPr>
      </w:pPr>
      <w:r>
        <w:rPr>
          <w:rFonts w:ascii="Times New Roman" w:eastAsia="MS Mincho" w:hAnsi="Times New Roman" w:cs="Times New Roman"/>
          <w:sz w:val="24"/>
        </w:rPr>
        <w:t>Die Eintragungen des Sterbedatums sind an der vorgesehenen Stelle im Titelblatt nicht zu identifizieren bzw., bis auf das Wort Mai, zerstört; darunter ist aber 1684 und, von anderer Hand, (die zutreffende Jahreszahl) 1680 geschrieben. Im Epitaphentwurf S. (50) steht: „Obijt die 19 Mensis, Maj Anno M.DC.LXXII.“ Unter „LXXII“ ist handschriftlich 80 geschrieben.</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3. in Salzburg in der Universitätsbibliothek, Signatur: 92.971.I.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Das Sterbedatum ist weder im Titelblatt, noch im Epitaphentwurf S. (50) eingetragen.</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4. in Berlin(-Charlottenburg) in der Bibliothek (2) der Hochschule der Künste, Signatur: 5594 (Bibliothekssigel B 170).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 xml:space="preserve">Dieses Exemplar umfasst nur die Seiten 19-40. Es handelt sich um jenes, </w:t>
      </w:r>
      <w:proofErr w:type="gramStart"/>
      <w:r>
        <w:rPr>
          <w:rFonts w:ascii="Times New Roman" w:eastAsia="MS Mincho" w:hAnsi="Times New Roman" w:cs="Times New Roman"/>
          <w:sz w:val="24"/>
        </w:rPr>
        <w:t>das</w:t>
      </w:r>
      <w:proofErr w:type="gramEnd"/>
      <w:r>
        <w:rPr>
          <w:rFonts w:ascii="Times New Roman" w:eastAsia="MS Mincho" w:hAnsi="Times New Roman" w:cs="Times New Roman"/>
          <w:sz w:val="24"/>
        </w:rPr>
        <w:t xml:space="preserve"> Oskar Fleischer für seine Veröffentlichungen von 1891 vorlag und aus dem Besitz von Paul de Wit in Leipzig stammte, der es nach Fleischers Angabe „der königl. Sammlung alter Musikinstrumente zu Berlin“ schenkte. (Ein seltener alter Druck mit Instrumentenbildern, in: </w:t>
      </w:r>
      <w:r>
        <w:rPr>
          <w:rFonts w:ascii="Times New Roman" w:eastAsia="MS Mincho" w:hAnsi="Times New Roman" w:cs="Times New Roman"/>
          <w:i/>
          <w:iCs/>
          <w:sz w:val="24"/>
        </w:rPr>
        <w:t>Musikalisches Wochenblatt</w:t>
      </w:r>
      <w:r>
        <w:rPr>
          <w:rFonts w:ascii="Times New Roman" w:eastAsia="MS Mincho" w:hAnsi="Times New Roman" w:cs="Times New Roman"/>
          <w:sz w:val="24"/>
        </w:rPr>
        <w:t xml:space="preserve"> 22 (1891), S. 577; s. auch o.***.) Nur dieses Fragment ist in RISM (***) verzeichnet.</w:t>
      </w:r>
    </w:p>
    <w:p w:rsidR="00033488" w:rsidRDefault="00033488" w:rsidP="00033488">
      <w:pPr>
        <w:pStyle w:val="NurText"/>
        <w:spacing w:line="360" w:lineRule="auto"/>
        <w:ind w:left="284"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Im </w:t>
      </w:r>
      <w:r>
        <w:rPr>
          <w:rFonts w:ascii="Times New Roman" w:eastAsia="MS Mincho" w:hAnsi="Times New Roman" w:cs="Times New Roman"/>
          <w:i/>
          <w:iCs/>
          <w:sz w:val="24"/>
        </w:rPr>
        <w:t>Beylag zu meinem Testament</w:t>
      </w:r>
      <w:r>
        <w:rPr>
          <w:rFonts w:ascii="Times New Roman" w:eastAsia="MS Mincho" w:hAnsi="Times New Roman" w:cs="Times New Roman"/>
          <w:sz w:val="24"/>
        </w:rPr>
        <w:t xml:space="preserve"> (10. S.) schreibt Megerle über sein </w:t>
      </w:r>
      <w:r>
        <w:rPr>
          <w:rFonts w:ascii="Times New Roman" w:eastAsia="MS Mincho" w:hAnsi="Times New Roman" w:cs="Times New Roman"/>
          <w:i/>
          <w:iCs/>
          <w:sz w:val="24"/>
        </w:rPr>
        <w:t>Speculum</w:t>
      </w:r>
      <w:r>
        <w:rPr>
          <w:rFonts w:ascii="Times New Roman" w:eastAsia="MS Mincho" w:hAnsi="Times New Roman" w:cs="Times New Roman"/>
          <w:sz w:val="24"/>
        </w:rPr>
        <w:t xml:space="preserve">, dass „dise biechlen vil gelt werden costen, weil sye 2 mahl gestochen, und dz erste mahl alles verworffen worden“. Die dreieinhalb erhaltenen Exemplare stammen offensichtlich alle aus dem zweiten Druck (von 1672). Abweichungen gibt es nur hinsichtlich der Druckqualität - das Zoffinger </w:t>
      </w:r>
      <w:r>
        <w:rPr>
          <w:rFonts w:ascii="Times New Roman" w:eastAsia="MS Mincho" w:hAnsi="Times New Roman" w:cs="Times New Roman"/>
          <w:sz w:val="24"/>
        </w:rPr>
        <w:lastRenderedPageBreak/>
        <w:t>Exemplar ist, mit Ausnahme der am Rand lädierten ersten und letzten Seiten, am frischesten, das Salzburger am abgenutztesten in den Kupfern, sowie durch Wasser und Wurmfraß beschädigt.</w:t>
      </w:r>
    </w:p>
    <w:p w:rsidR="00033488" w:rsidRDefault="00033488" w:rsidP="00033488">
      <w:pPr>
        <w:pStyle w:val="NurText"/>
        <w:spacing w:line="360" w:lineRule="auto"/>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Druckfehler, die in allen Exemplaren übereinstimmen:</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 2</w:t>
      </w:r>
      <w:r>
        <w:rPr>
          <w:rFonts w:ascii="Times New Roman" w:eastAsia="MS Mincho" w:hAnsi="Times New Roman" w:cs="Times New Roman"/>
          <w:sz w:val="24"/>
        </w:rPr>
        <w:tab/>
        <w:t xml:space="preserve"> „Mgerle“ - richtig: Megerle.</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 7</w:t>
      </w:r>
      <w:r>
        <w:rPr>
          <w:rFonts w:ascii="Times New Roman" w:eastAsia="MS Mincho" w:hAnsi="Times New Roman" w:cs="Times New Roman"/>
          <w:sz w:val="24"/>
        </w:rPr>
        <w:tab/>
        <w:t xml:space="preserve"> „Costantz“ - richtig: Constantz. (Auch im </w:t>
      </w:r>
      <w:r>
        <w:rPr>
          <w:rFonts w:ascii="Times New Roman" w:eastAsia="MS Mincho" w:hAnsi="Times New Roman" w:cs="Times New Roman"/>
          <w:i/>
          <w:iCs/>
          <w:sz w:val="24"/>
        </w:rPr>
        <w:t>Beylag</w:t>
      </w:r>
      <w:r>
        <w:rPr>
          <w:rFonts w:ascii="Times New Roman" w:eastAsia="MS Mincho" w:hAnsi="Times New Roman" w:cs="Times New Roman"/>
          <w:sz w:val="24"/>
        </w:rPr>
        <w:t xml:space="preserve"> schreibt Megerle in der Regel Costanz.)</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24</w:t>
      </w:r>
      <w:r>
        <w:rPr>
          <w:rFonts w:ascii="Times New Roman" w:eastAsia="MS Mincho" w:hAnsi="Times New Roman" w:cs="Times New Roman"/>
          <w:sz w:val="24"/>
        </w:rPr>
        <w:tab/>
        <w:t xml:space="preserve"> „Oratio Ad Christum Donum“ - abgekürzt, richtig: Oratio Ad Christum Dominum.</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(53)</w:t>
      </w:r>
      <w:r>
        <w:rPr>
          <w:rFonts w:ascii="Times New Roman" w:eastAsia="MS Mincho" w:hAnsi="Times New Roman" w:cs="Times New Roman"/>
          <w:sz w:val="24"/>
        </w:rPr>
        <w:tab/>
        <w:t xml:space="preserve"> „Pereginos“ - richtig: Peregrinos.</w:t>
      </w: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br w:type="page"/>
      </w:r>
      <w:r>
        <w:rPr>
          <w:rFonts w:ascii="Times New Roman" w:eastAsia="MS Mincho" w:hAnsi="Times New Roman" w:cs="Times New Roman"/>
          <w:sz w:val="24"/>
        </w:rPr>
        <w:lastRenderedPageBreak/>
        <w:t>IX. Übersetzung der lateinischen Widmungsrede und anderer lateinischer Textteile</w:t>
      </w: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jc w:val="both"/>
        <w:rPr>
          <w:rFonts w:ascii="Times New Roman" w:eastAsia="MS Mincho" w:hAnsi="Times New Roman" w:cs="Times New Roman"/>
          <w:sz w:val="24"/>
        </w:rPr>
      </w:pPr>
      <w:r>
        <w:rPr>
          <w:rFonts w:ascii="Times New Roman" w:eastAsia="MS Mincho" w:hAnsi="Times New Roman" w:cs="Times New Roman"/>
          <w:sz w:val="24"/>
        </w:rPr>
        <w:t>Apostrophe aus dem Grab des Abraham Megerle, seine Konkapitulare und Mitbrüder anredend</w:t>
      </w:r>
    </w:p>
    <w:p w:rsidR="00033488" w:rsidRDefault="00033488" w:rsidP="00033488">
      <w:pPr>
        <w:pStyle w:val="NurText"/>
        <w:ind w:firstLine="284"/>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 xml:space="preserve">Euch, teure und Gott geweihte Männer, rede ich mit wenigen Worten an und heiße euch, im Gang zu meinem Grab eine kleine Weile innezuhalten. Erschöpft habe ich das Ziel des Lebens nach so vielen Jahren (Reinigungsopfern) erreicht; auch ihr eilt mit schnellem Fuß dahin. Wie seltsam! Während einer sitzt oder steht, fährt ein anderer dahin. Wanderer, was siehst du mein Grab genauer an? Ach, wenn du den Einbalsamierten kennen lernen willst, dann lies den mit schwarzen Buchstaben eingeschriebenen Namen. Ach, es ist leicht zu sehen, hier liegt, schon pausierend, jener Abraham Megerle, mit seinen Schriften (Merkmalen, Noten), den Musikern des Erdkreises einst wohlbekannt, jener an den Fürstenhöfen höchst berühmte Komponist. Der einst das Siegeslied mit Pauken und Trompeten sang, ist jetzt von der Erde gelöst zu den Sternen erhoben; triumphierend schaut er, nachdem er die Freuden des Himmels erfahren hat, vom hohen Olymp herab; unter den Chören der himmlischen Höfe wirkt er als Kapellmeister, den Lohn für seine in der Musik geleistete Arbeit empfangend. Lebt einstweilen wohl und lebt so, dass es euch einst nicht gereut, so gelebt zu haben. Ich bin glückselig in das Haus der Ewigkeit eingetreten. Ihr alle werdet früher oder später folgen. Wann? Es ist ungewiß, gewiß aber ist, dass ihr folgen werdet. Denn allen Menschen ist ein für allemal bestimmt zu sterben. Vertraut nicht der unzuverlässigen Parze, der Faden der Lachesis zerreißt schneller als du meinst. Denn, wie ein altes Sprichwort sagt, der Tod greift die Greise von vorne an, von hinten aber die Jünglinge; meist ist er ein unerwarteter Gast. Ob du willst oder nicht, es ist notwendig, dein Gepäck zusammen zu suchen. Wenn du klug bist, sei wachsam. Im </w:t>
      </w:r>
      <w:proofErr w:type="gramStart"/>
      <w:r>
        <w:rPr>
          <w:rFonts w:ascii="Times New Roman" w:eastAsia="MS Mincho" w:hAnsi="Times New Roman" w:cs="Times New Roman"/>
          <w:sz w:val="24"/>
        </w:rPr>
        <w:t>übrigen</w:t>
      </w:r>
      <w:proofErr w:type="gramEnd"/>
      <w:r>
        <w:rPr>
          <w:rFonts w:ascii="Times New Roman" w:eastAsia="MS Mincho" w:hAnsi="Times New Roman" w:cs="Times New Roman"/>
          <w:sz w:val="24"/>
        </w:rPr>
        <w:t xml:space="preserve"> bleibt (mir nur), denen, denen ich es schulde, Dank zu sagen für die mir erwiesenen Ehren und Wohltaten, die ich nicht selten erfahren habe.</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Und vornehmlich dir, hochwürdigster und durchlauchtigster Fürst Albert Sigismund, hochwürdigster Propst unserer Kollegiatskirche, der du mich allein aus der Mitte unseres Kapitels heraus für wert befunden hast, in deinem Auftrage zu handeln und in deiner Abwesenheit den Besitz der Öttinger Propstei mit ihrem Recht und ihrer Jurisdiktion in Anwesenheit der Legaten verschiedener Fürsten und in feierlichster Zeremonie zu übernehmen, wie sie kaum jemals an diesem ausgezeichneten Ort gesehen wurde. Und so kommt es, dass ich dir, verehrungswürdigster und durchlauchtigster Fürst etc., im Himmel ewig verbunden bleibe, der du zu Lebzeiten meine Bestattung in unserer Kollegiatskirche ohne meine Kosten gewährt hast.</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Gleicherweise danke ich auch euch, meinen verehrungswürdigsten, wohlgeborenen und hochberühmten Mitbrüdern und besonders liebenswürdigen und zu verehrenden Konkapitularen, die ihr mit mir durch so viele Jahre Umgang pflegtet, mich mit einer solchen Bekundung eures </w:t>
      </w:r>
      <w:r>
        <w:rPr>
          <w:rFonts w:ascii="Times New Roman" w:eastAsia="MS Mincho" w:hAnsi="Times New Roman" w:cs="Times New Roman"/>
          <w:sz w:val="24"/>
        </w:rPr>
        <w:lastRenderedPageBreak/>
        <w:t>Wohlwollens und eurer Liebe umarmt habt, damit ich nicht unwürdig meine schweren Aufgaben erledigte, fürstliche Personen empfing, die hierher kamen (und) meine unbedeutende Tätigkeit ausübte. Ganz zu schweigen von vielen anderen bemerkenswerten Kennzeichen des Wohlwollens zu mir, die ich mit dankbarem Herzen vergelten will, hinterlasse ich euch und biete euch demütigst dar diesen Musikalischen Totenspiegel, zu meinem ewigen Gedächtnis, und gleichzeitig wünsche ich (euch) wie mir, das glückliche und selige ewige Leben, danke ich euch allen und rufe den einzelnen von Herzen zu: Lebt wohl und klatscht mit meinen Händen euren Gebeten und Opfern Beifall.</w:t>
      </w: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p>
    <w:p w:rsidR="00033488" w:rsidRDefault="00033488" w:rsidP="00033488">
      <w:pPr>
        <w:pStyle w:val="NurText"/>
        <w:spacing w:line="360" w:lineRule="auto"/>
        <w:jc w:val="both"/>
        <w:rPr>
          <w:rFonts w:ascii="Times New Roman" w:eastAsia="MS Mincho" w:hAnsi="Times New Roman" w:cs="Times New Roman"/>
          <w:sz w:val="24"/>
        </w:rPr>
      </w:pPr>
      <w:r>
        <w:rPr>
          <w:rFonts w:ascii="Times New Roman" w:eastAsia="MS Mincho" w:hAnsi="Times New Roman" w:cs="Times New Roman"/>
          <w:sz w:val="24"/>
        </w:rPr>
        <w:t>weitere Übersetzungen:</w:t>
      </w:r>
    </w:p>
    <w:p w:rsidR="00033488" w:rsidRDefault="00033488" w:rsidP="00033488">
      <w:pPr>
        <w:pStyle w:val="NurText"/>
        <w:spacing w:line="360" w:lineRule="auto"/>
        <w:jc w:val="both"/>
        <w:rPr>
          <w:rFonts w:ascii="Times New Roman" w:eastAsia="MS Mincho" w:hAnsi="Times New Roman" w:cs="Times New Roman"/>
          <w:sz w:val="24"/>
        </w:rPr>
      </w:pP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(II) Musikalischer Totenspiegel des hochwürdigsten, vornehmen und sehr berühmten Herrn Abraham Megerle, einst des bischöflichen Doms zu Konstanz, dann des erzbischöflichen Doms zu Salzburg Kapellmeister; daselbst Kanoniker zu Maria Schnee; schließlich auch Kanoniker und Scholastiker der ausgezeichneten und altehrwürdigen kurfürstlichen Kollegiatkirche zu Altötting, der hl. römischen Kirche Protonotar und apostolischer Notarius publicus juratus, als derjenige, der in das Haus der Ewigkeit eintreten wird, den zerfallenden und vergänglichen Dingen endlich Lebewohl sagt, daher aus Liebe und Verehrung übergeben, gewidmet und geweiht.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(III) Ganz besonders dem durchlauchtigsten und ehrwürdigsten Fürsten und Herrn, Herrn Albert Sigismund, Bischof von Freising und Regensburg, Herzog beider Bayern und der Oberpfalz,  Pfalzgraf bei Rhein, Landgraf von Leuchtenberg, Propst zu Konstanz und [Alt-]Ötting etc., seinem gütigsten Herrn. </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Dem hochwürdigsten, wohlgeborenen und hochberühmten Achatius Viertl, der allerheiligsten Theologie Doktor, des durchlauchtigsten Kurfürsten Ferdinand Maria von Bayern etc., der erzbischöflich salzburgischen und bisch”flich passauischen Ratsversammlungen Konsistorial etc., der Altöttinger Kollegiatskirche Dechant und Vizevorsitzender etc.</w:t>
      </w:r>
    </w:p>
    <w:p w:rsidR="00033488" w:rsidRDefault="00033488" w:rsidP="00033488">
      <w:pPr>
        <w:pStyle w:val="NurText"/>
        <w:spacing w:line="360" w:lineRule="auto"/>
        <w:ind w:left="284" w:firstLine="284"/>
        <w:jc w:val="both"/>
        <w:rPr>
          <w:rFonts w:ascii="Times New Roman" w:eastAsia="MS Mincho" w:hAnsi="Times New Roman" w:cs="Times New Roman"/>
          <w:sz w:val="24"/>
        </w:rPr>
      </w:pPr>
      <w:r>
        <w:rPr>
          <w:rFonts w:ascii="Times New Roman" w:eastAsia="MS Mincho" w:hAnsi="Times New Roman" w:cs="Times New Roman"/>
          <w:sz w:val="24"/>
        </w:rPr>
        <w:t>Den hochwürdigsten, wohlgeborenen, hochberühmten und gelehrten Herren, Herren Kanonikern, seinen verehrtesten Kapitularen etc.</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24 Gebet zu Christus dem Herrn </w:t>
      </w: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left="284"/>
        <w:jc w:val="both"/>
        <w:rPr>
          <w:rFonts w:ascii="Times New Roman" w:eastAsia="MS Mincho" w:hAnsi="Times New Roman" w:cs="Times New Roman"/>
          <w:sz w:val="24"/>
        </w:rPr>
      </w:pPr>
      <w:r>
        <w:rPr>
          <w:rFonts w:ascii="Times New Roman" w:eastAsia="MS Mincho" w:hAnsi="Times New Roman" w:cs="Times New Roman"/>
          <w:sz w:val="24"/>
        </w:rPr>
        <w:lastRenderedPageBreak/>
        <w:t>O gnädiger Jesus, Sohn Gottes, verleihe mir, der Freude deines Anblicks eingedenk zu sein, denn durch dein kostbares Blut hast du mich vom Feind erlöst und wollest mich nicht fernhalten von deinen lieben Heiligen, Amen.</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25 Zur seligen Jungfrau Maria </w:t>
      </w:r>
    </w:p>
    <w:p w:rsidR="00033488" w:rsidRDefault="00033488" w:rsidP="00033488">
      <w:pPr>
        <w:pStyle w:val="NurText"/>
        <w:spacing w:line="360" w:lineRule="auto"/>
        <w:ind w:left="284"/>
        <w:jc w:val="both"/>
        <w:rPr>
          <w:rFonts w:ascii="Times New Roman" w:eastAsia="MS Mincho" w:hAnsi="Times New Roman" w:cs="Times New Roman"/>
          <w:sz w:val="24"/>
        </w:rPr>
      </w:pPr>
      <w:r>
        <w:rPr>
          <w:rFonts w:ascii="Times New Roman" w:eastAsia="MS Mincho" w:hAnsi="Times New Roman" w:cs="Times New Roman"/>
          <w:sz w:val="24"/>
        </w:rPr>
        <w:t xml:space="preserve">O selige Jungfrau Maria, Mutter Gottes, in jener schrecklichen Stunde, in der die Lebensgeister schwinden und die Leichenzunge sich nicht bewegen will, bist du anzurufen, auch wenn meine Augen nicht (mehr) das Licht empfangen k”nnen und meine Ohren sich keiner Stimme (mehr) öffnen, gedenke meiner und steh mir bei in jener letzten Stunde meiner Not, dass ich befreit werde von den Gehilfen des Teufels und den Christgläubigen beigezählt werde, den Dienern und Freunden deines Sohnes, Amen.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28 Heilige Zehnheit oder Rosenkranz zum Trost der Seelen. Anstelle des Vater unser etc. sprich das folgende Gebet: Gedenke liebster Jesus, der Seelen aller verstorbenen Gläubigen, für die du bereit warst, das kostbare Blut zu vergießen, zu sterben und die Marter des Kreuzes auf dich zu nehmen, Amen.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29 Anstelle der einzelnen Ave sprich für irgendeine Seele, welche du im Geist bezeichnest. Die wichtigsten Mysterien des im Leiden Christi vergossenen Blutes nochmals erwägend sprich anstelle des ersten Ave: Liebster Jesus, durch deinen blutigen Schweiß, erbarme dich der Seele des Priesters Abraham oder: N. oder: erbarme dich der im Fegefeuer befindlichen Seelen, oder: erbarme dich der Eltern, Brüder, Schwestern, Verwandten und anderer, für die ich mich verpflichte zu bitten, Amen.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32 Anstelle des zweiten Ave sprich: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Liebster Jesus, durch den in dein verehrungswürdiges Angesicht geschlagenen Backenstreich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33 Anstelle des dritte Ave sprich: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Liebster Jesus, durch deine allergrausamste Geißelung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36 Anstelle des vierten Ave sprich: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Liebster Jesus, durch die Dornen des verwundeten Hauptes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37 Anstelle des fünften Ave sprich: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Liebster Jesus, durch deine blutbefleckten Wege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40 Anstelle des sechsten Ave sprich: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Liebster Jesus, durch dein blutiges, Veronika dargebotenes Angesicht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41 Anstelle des siebten Ave sprich: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Liebster Jesus, durch den höchst verabscheuungswürdigen Raub deines blutroten Kleides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44 Anstelle des achten Ave sprich: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lastRenderedPageBreak/>
        <w:t>Liebster Jesus, durch die grausamste Ausspannung am Kreuz und die Peinigung deiner Glieder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45 Anstelle des neunten Ave sprich: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Liebster Jesus, durch die Nägel in Händen und Füßen ...</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47 Anstelle des zehnten Ave sprich: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Liebster Jesus, durch die in deinem heiligen Blut getränkte Lanze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Auf diese Weise kann der ganze Rosenkranz gebetet werden.</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(49) Epitaph zur Zierde der altehrwürdigen und kurfürstlichen Kollegiatkirche errichtet.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Dieser Hülle Edelstein, Wanderer, hat der Tod eingeschlossen.</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Was er sei, lies und verstehe.</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Die Idee des Priestertums ist lebendig. [... ähnlich S. 1]</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(50) Durch neue Kunst bereicherte er die Musik, verfeinerte, vollendete sie. Zu Salzburg hat er als Schneeherr und Haupt der Musik bedeutende Bücher im Druck herausgegeben.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Du Wanderer, stimme ein Requiem an. In sinu Abrahae und Aeternam Angeli mögen folgen.</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Er ist gestorben am Tag... des Monats... im Jahre 1672.</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 xml:space="preserve">(51) Über das Grab </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Der Leib Abraham Megerles, dessen Herz in Konstanz ruht.</w:t>
      </w:r>
    </w:p>
    <w:p w:rsidR="00033488" w:rsidRDefault="00033488" w:rsidP="00033488">
      <w:pPr>
        <w:pStyle w:val="NurText"/>
        <w:spacing w:line="360" w:lineRule="auto"/>
        <w:ind w:left="284" w:hanging="284"/>
        <w:jc w:val="both"/>
        <w:rPr>
          <w:rFonts w:ascii="Times New Roman" w:eastAsia="MS Mincho" w:hAnsi="Times New Roman" w:cs="Times New Roman"/>
          <w:sz w:val="24"/>
        </w:rPr>
      </w:pPr>
      <w:r>
        <w:rPr>
          <w:rFonts w:ascii="Times New Roman" w:eastAsia="MS Mincho" w:hAnsi="Times New Roman" w:cs="Times New Roman"/>
          <w:sz w:val="24"/>
        </w:rPr>
        <w:t>(53) Er war Kanoniker und Scholastiker zu Altötting, päpstlicher Protonotar und apostolischer Notarius iuratus publicus, ein Liebhaber des unbescholtenen Lebens (und) der guten Sitten,</w:t>
      </w:r>
    </w:p>
    <w:p w:rsidR="00033488" w:rsidRDefault="00033488" w:rsidP="00033488">
      <w:pPr>
        <w:pStyle w:val="NurText"/>
        <w:spacing w:line="360" w:lineRule="auto"/>
        <w:ind w:left="284"/>
        <w:jc w:val="both"/>
        <w:rPr>
          <w:rFonts w:ascii="Times New Roman" w:eastAsia="MS Mincho" w:hAnsi="Times New Roman" w:cs="Times New Roman"/>
          <w:sz w:val="24"/>
        </w:rPr>
      </w:pPr>
      <w:r>
        <w:rPr>
          <w:rFonts w:ascii="Times New Roman" w:eastAsia="MS Mincho" w:hAnsi="Times New Roman" w:cs="Times New Roman"/>
          <w:sz w:val="24"/>
        </w:rPr>
        <w:t xml:space="preserve">für Gott und die göttlichen Dinge in Eifer entbrannt, zu ungezählten Pilgern und Armen freigebig über sein Vermögen hinaus. </w:t>
      </w:r>
    </w:p>
    <w:p w:rsidR="00033488" w:rsidRDefault="00033488" w:rsidP="00033488">
      <w:pPr>
        <w:pStyle w:val="NurText"/>
        <w:spacing w:line="360" w:lineRule="auto"/>
        <w:ind w:left="284"/>
        <w:jc w:val="both"/>
        <w:rPr>
          <w:rFonts w:ascii="Times New Roman" w:eastAsia="MS Mincho" w:hAnsi="Times New Roman" w:cs="Times New Roman"/>
          <w:sz w:val="24"/>
        </w:rPr>
      </w:pPr>
      <w:r>
        <w:rPr>
          <w:rFonts w:ascii="Times New Roman" w:eastAsia="MS Mincho" w:hAnsi="Times New Roman" w:cs="Times New Roman"/>
          <w:sz w:val="24"/>
        </w:rPr>
        <w:t>Er hat als erster die musikalische Übung in den Parthenon eingeführt, durch neue Kunst vermehrt (und) vollendet zu Salzburg etc.</w:t>
      </w:r>
    </w:p>
    <w:p w:rsidR="00033488" w:rsidRDefault="00033488" w:rsidP="00033488">
      <w:pPr>
        <w:pStyle w:val="NurText"/>
        <w:spacing w:line="360" w:lineRule="auto"/>
        <w:ind w:firstLine="284"/>
        <w:jc w:val="both"/>
        <w:rPr>
          <w:rFonts w:ascii="Times New Roman" w:eastAsia="MS Mincho" w:hAnsi="Times New Roman" w:cs="Times New Roman"/>
          <w:sz w:val="24"/>
        </w:rPr>
      </w:pPr>
      <w:r>
        <w:rPr>
          <w:rFonts w:ascii="Times New Roman" w:eastAsia="MS Mincho" w:hAnsi="Times New Roman" w:cs="Times New Roman"/>
          <w:sz w:val="24"/>
        </w:rPr>
        <w:t xml:space="preserve">[Alles </w:t>
      </w:r>
      <w:proofErr w:type="gramStart"/>
      <w:r>
        <w:rPr>
          <w:rFonts w:ascii="Times New Roman" w:eastAsia="MS Mincho" w:hAnsi="Times New Roman" w:cs="Times New Roman"/>
          <w:sz w:val="24"/>
        </w:rPr>
        <w:t>folgende</w:t>
      </w:r>
      <w:proofErr w:type="gramEnd"/>
      <w:r>
        <w:rPr>
          <w:rFonts w:ascii="Times New Roman" w:eastAsia="MS Mincho" w:hAnsi="Times New Roman" w:cs="Times New Roman"/>
          <w:sz w:val="24"/>
        </w:rPr>
        <w:t xml:space="preserve"> wie im vorangehenden Epitaph bis zum Ende].</w:t>
      </w: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ind w:firstLine="284"/>
        <w:jc w:val="both"/>
        <w:rPr>
          <w:rFonts w:ascii="Times New Roman" w:eastAsia="MS Mincho" w:hAnsi="Times New Roman" w:cs="Times New Roman"/>
          <w:sz w:val="24"/>
        </w:rPr>
      </w:pP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br w:type="page"/>
      </w:r>
      <w:r>
        <w:rPr>
          <w:rFonts w:ascii="Times New Roman" w:eastAsia="MS Mincho" w:hAnsi="Times New Roman" w:cs="Times New Roman"/>
          <w:sz w:val="24"/>
        </w:rPr>
        <w:lastRenderedPageBreak/>
        <w:t>X. Verzeichnis der musikalischen Werke</w:t>
      </w:r>
    </w:p>
    <w:p w:rsidR="00033488" w:rsidRDefault="00033488" w:rsidP="00033488">
      <w:pPr>
        <w:pStyle w:val="NurText"/>
        <w:spacing w:line="360" w:lineRule="auto"/>
        <w:rPr>
          <w:rFonts w:ascii="Times New Roman" w:eastAsia="MS Mincho" w:hAnsi="Times New Roman" w:cs="Times New Roman"/>
          <w:sz w:val="24"/>
        </w:rPr>
      </w:pP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1. (zum Teil) erhaltene Druckwerke:</w:t>
      </w:r>
    </w:p>
    <w:p w:rsidR="00033488" w:rsidRDefault="00033488" w:rsidP="00033488">
      <w:pPr>
        <w:pStyle w:val="NurText"/>
        <w:spacing w:line="360" w:lineRule="auto"/>
        <w:rPr>
          <w:rFonts w:ascii="Times New Roman" w:eastAsia="MS Mincho" w:hAnsi="Times New Roman" w:cs="Times New Roman"/>
          <w:i/>
          <w:iCs/>
          <w:sz w:val="24"/>
          <w:lang w:val="it-IT"/>
        </w:rPr>
      </w:pPr>
      <w:r>
        <w:rPr>
          <w:rFonts w:ascii="Times New Roman" w:eastAsia="MS Mincho" w:hAnsi="Times New Roman" w:cs="Times New Roman"/>
          <w:i/>
          <w:iCs/>
          <w:sz w:val="24"/>
          <w:lang w:val="it-IT"/>
        </w:rPr>
        <w:t xml:space="preserve">Ara Musica solemni concentu ... Gradualia, Tractus, Alleluja, Versus, Sequentiae </w:t>
      </w:r>
      <w:proofErr w:type="gramStart"/>
      <w:r>
        <w:rPr>
          <w:rFonts w:ascii="Times New Roman" w:eastAsia="MS Mincho" w:hAnsi="Times New Roman" w:cs="Times New Roman"/>
          <w:i/>
          <w:iCs/>
          <w:sz w:val="24"/>
          <w:lang w:val="it-IT"/>
        </w:rPr>
        <w:t>&amp;</w:t>
      </w:r>
      <w:proofErr w:type="gramEnd"/>
      <w:r>
        <w:rPr>
          <w:rFonts w:ascii="Times New Roman" w:eastAsia="MS Mincho" w:hAnsi="Times New Roman" w:cs="Times New Roman"/>
          <w:i/>
          <w:iCs/>
          <w:sz w:val="24"/>
          <w:lang w:val="it-IT"/>
        </w:rPr>
        <w:t xml:space="preserve"> </w:t>
      </w:r>
    </w:p>
    <w:p w:rsidR="00033488" w:rsidRDefault="00033488" w:rsidP="00033488">
      <w:pPr>
        <w:pStyle w:val="NurText"/>
        <w:spacing w:line="360" w:lineRule="auto"/>
        <w:ind w:firstLine="708"/>
        <w:rPr>
          <w:rFonts w:ascii="Times New Roman" w:eastAsia="MS Mincho" w:hAnsi="Times New Roman" w:cs="Times New Roman"/>
          <w:sz w:val="24"/>
          <w:lang w:val="fr-FR"/>
        </w:rPr>
      </w:pPr>
      <w:r>
        <w:rPr>
          <w:rFonts w:ascii="Times New Roman" w:eastAsia="MS Mincho" w:hAnsi="Times New Roman" w:cs="Times New Roman"/>
          <w:i/>
          <w:iCs/>
          <w:sz w:val="24"/>
          <w:lang w:val="fr-FR"/>
        </w:rPr>
        <w:t xml:space="preserve">Offertoria ... ab I. in XXIV. </w:t>
      </w:r>
      <w:proofErr w:type="gramStart"/>
      <w:r>
        <w:rPr>
          <w:rFonts w:ascii="Times New Roman" w:eastAsia="MS Mincho" w:hAnsi="Times New Roman" w:cs="Times New Roman"/>
          <w:i/>
          <w:iCs/>
          <w:sz w:val="24"/>
          <w:lang w:val="fr-FR"/>
        </w:rPr>
        <w:t>pluresque</w:t>
      </w:r>
      <w:proofErr w:type="gramEnd"/>
      <w:r>
        <w:rPr>
          <w:rFonts w:ascii="Times New Roman" w:eastAsia="MS Mincho" w:hAnsi="Times New Roman" w:cs="Times New Roman"/>
          <w:i/>
          <w:iCs/>
          <w:sz w:val="24"/>
          <w:lang w:val="fr-FR"/>
        </w:rPr>
        <w:t xml:space="preserve"> voces, cum Instrumentis Musicis explicata</w:t>
      </w:r>
      <w:r>
        <w:rPr>
          <w:rFonts w:ascii="Times New Roman" w:eastAsia="MS Mincho" w:hAnsi="Times New Roman" w:cs="Times New Roman"/>
          <w:sz w:val="24"/>
          <w:lang w:val="fr-FR"/>
        </w:rPr>
        <w:t xml:space="preserve">, </w:t>
      </w:r>
    </w:p>
    <w:p w:rsidR="00033488" w:rsidRDefault="00033488" w:rsidP="00033488">
      <w:pPr>
        <w:pStyle w:val="NurText"/>
        <w:spacing w:line="360" w:lineRule="auto"/>
        <w:ind w:firstLine="708"/>
        <w:rPr>
          <w:rFonts w:ascii="Times New Roman" w:eastAsia="MS Mincho" w:hAnsi="Times New Roman" w:cs="Times New Roman"/>
          <w:sz w:val="24"/>
          <w:lang w:val="it-IT"/>
        </w:rPr>
      </w:pPr>
      <w:r>
        <w:rPr>
          <w:rFonts w:ascii="Times New Roman" w:eastAsia="MS Mincho" w:hAnsi="Times New Roman" w:cs="Times New Roman"/>
          <w:sz w:val="24"/>
          <w:lang w:val="it-IT"/>
        </w:rPr>
        <w:t>Salzburg 1647.</w:t>
      </w:r>
    </w:p>
    <w:p w:rsidR="00033488" w:rsidRDefault="00033488" w:rsidP="00033488">
      <w:pPr>
        <w:pStyle w:val="NurText"/>
        <w:spacing w:line="360" w:lineRule="auto"/>
        <w:rPr>
          <w:rFonts w:ascii="Times New Roman" w:eastAsia="MS Mincho" w:hAnsi="Times New Roman" w:cs="Times New Roman"/>
          <w:i/>
          <w:iCs/>
          <w:sz w:val="24"/>
          <w:lang w:val="it-IT"/>
        </w:rPr>
      </w:pPr>
      <w:r>
        <w:rPr>
          <w:rFonts w:ascii="Times New Roman" w:eastAsia="MS Mincho" w:hAnsi="Times New Roman" w:cs="Times New Roman"/>
          <w:i/>
          <w:iCs/>
          <w:sz w:val="24"/>
          <w:lang w:val="it-IT"/>
        </w:rPr>
        <w:t xml:space="preserve">Psalmodia Jesv </w:t>
      </w:r>
      <w:proofErr w:type="gramStart"/>
      <w:r>
        <w:rPr>
          <w:rFonts w:ascii="Times New Roman" w:eastAsia="MS Mincho" w:hAnsi="Times New Roman" w:cs="Times New Roman"/>
          <w:i/>
          <w:iCs/>
          <w:sz w:val="24"/>
          <w:lang w:val="it-IT"/>
        </w:rPr>
        <w:t>et</w:t>
      </w:r>
      <w:proofErr w:type="gramEnd"/>
      <w:r>
        <w:rPr>
          <w:rFonts w:ascii="Times New Roman" w:eastAsia="MS Mincho" w:hAnsi="Times New Roman" w:cs="Times New Roman"/>
          <w:i/>
          <w:iCs/>
          <w:sz w:val="24"/>
          <w:lang w:val="it-IT"/>
        </w:rPr>
        <w:t xml:space="preserve"> Mariae sacra a II. III. &amp; </w:t>
      </w:r>
      <w:proofErr w:type="gramStart"/>
      <w:r>
        <w:rPr>
          <w:rFonts w:ascii="Times New Roman" w:eastAsia="MS Mincho" w:hAnsi="Times New Roman" w:cs="Times New Roman"/>
          <w:i/>
          <w:iCs/>
          <w:sz w:val="24"/>
          <w:lang w:val="it-IT"/>
        </w:rPr>
        <w:t>IV.</w:t>
      </w:r>
      <w:proofErr w:type="gramEnd"/>
      <w:r>
        <w:rPr>
          <w:rFonts w:ascii="Times New Roman" w:eastAsia="MS Mincho" w:hAnsi="Times New Roman" w:cs="Times New Roman"/>
          <w:i/>
          <w:iCs/>
          <w:sz w:val="24"/>
          <w:lang w:val="it-IT"/>
        </w:rPr>
        <w:t xml:space="preserve"> vocibus, II. instrumentis necessariis, cum aliis </w:t>
      </w:r>
    </w:p>
    <w:p w:rsidR="00033488" w:rsidRDefault="00033488" w:rsidP="00033488">
      <w:pPr>
        <w:pStyle w:val="NurText"/>
        <w:spacing w:line="360" w:lineRule="auto"/>
        <w:ind w:firstLine="708"/>
        <w:rPr>
          <w:rFonts w:ascii="Times New Roman" w:eastAsia="MS Mincho" w:hAnsi="Times New Roman" w:cs="Times New Roman"/>
          <w:sz w:val="24"/>
          <w:lang w:val="it-IT"/>
        </w:rPr>
      </w:pPr>
      <w:proofErr w:type="gramStart"/>
      <w:r>
        <w:rPr>
          <w:rFonts w:ascii="Times New Roman" w:eastAsia="MS Mincho" w:hAnsi="Times New Roman" w:cs="Times New Roman"/>
          <w:i/>
          <w:iCs/>
          <w:sz w:val="24"/>
          <w:lang w:val="it-IT"/>
        </w:rPr>
        <w:t>tam</w:t>
      </w:r>
      <w:proofErr w:type="gramEnd"/>
      <w:r>
        <w:rPr>
          <w:rFonts w:ascii="Times New Roman" w:eastAsia="MS Mincho" w:hAnsi="Times New Roman" w:cs="Times New Roman"/>
          <w:i/>
          <w:iCs/>
          <w:sz w:val="24"/>
          <w:lang w:val="it-IT"/>
        </w:rPr>
        <w:t xml:space="preserve"> vocibus quam instrumentis &amp; Ripienis ad libitum</w:t>
      </w:r>
      <w:r>
        <w:rPr>
          <w:rFonts w:ascii="Times New Roman" w:eastAsia="MS Mincho" w:hAnsi="Times New Roman" w:cs="Times New Roman"/>
          <w:sz w:val="24"/>
          <w:lang w:val="it-IT"/>
        </w:rPr>
        <w:t>, München 1657.</w:t>
      </w:r>
    </w:p>
    <w:p w:rsidR="00033488" w:rsidRDefault="00033488" w:rsidP="00033488">
      <w:pPr>
        <w:pStyle w:val="NurText"/>
        <w:spacing w:line="360" w:lineRule="auto"/>
        <w:rPr>
          <w:rFonts w:ascii="Times New Roman" w:eastAsia="MS Mincho" w:hAnsi="Times New Roman" w:cs="Times New Roman"/>
          <w:sz w:val="24"/>
          <w:lang w:val="it-IT"/>
        </w:rPr>
      </w:pPr>
      <w:r>
        <w:rPr>
          <w:rFonts w:ascii="Times New Roman" w:eastAsia="MS Mincho" w:hAnsi="Times New Roman" w:cs="Times New Roman"/>
          <w:i/>
          <w:iCs/>
          <w:sz w:val="24"/>
          <w:lang w:val="it-IT"/>
        </w:rPr>
        <w:t>Amor reciprocus Dei et D. Francisci. Canon quatuor Vocum</w:t>
      </w:r>
      <w:r>
        <w:rPr>
          <w:rFonts w:ascii="Times New Roman" w:eastAsia="MS Mincho" w:hAnsi="Times New Roman" w:cs="Times New Roman"/>
          <w:sz w:val="24"/>
          <w:lang w:val="it-IT"/>
        </w:rPr>
        <w:t xml:space="preserve"> (Einblattkupferstich). </w:t>
      </w:r>
    </w:p>
    <w:p w:rsidR="00033488" w:rsidRDefault="00033488" w:rsidP="00033488">
      <w:pPr>
        <w:pStyle w:val="NurText"/>
        <w:spacing w:line="360" w:lineRule="auto"/>
        <w:rPr>
          <w:rFonts w:ascii="Times New Roman" w:eastAsia="MS Mincho" w:hAnsi="Times New Roman" w:cs="Times New Roman"/>
          <w:sz w:val="24"/>
          <w:lang w:val="it-IT"/>
        </w:rPr>
      </w:pP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2. Manuskripte</w:t>
      </w: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i/>
          <w:iCs/>
          <w:sz w:val="24"/>
        </w:rPr>
        <w:t>Peccator et consolator</w:t>
      </w:r>
      <w:r>
        <w:rPr>
          <w:rFonts w:ascii="Times New Roman" w:eastAsia="MS Mincho" w:hAnsi="Times New Roman" w:cs="Times New Roman"/>
          <w:sz w:val="24"/>
        </w:rPr>
        <w:t>, Dialog für zwei Soprane und b.c.</w:t>
      </w:r>
    </w:p>
    <w:p w:rsidR="00033488" w:rsidRDefault="00033488" w:rsidP="00033488">
      <w:pPr>
        <w:pStyle w:val="NurText"/>
        <w:spacing w:line="360" w:lineRule="auto"/>
        <w:rPr>
          <w:rFonts w:ascii="Times New Roman" w:eastAsia="MS Mincho" w:hAnsi="Times New Roman" w:cs="Times New Roman"/>
          <w:sz w:val="24"/>
        </w:rPr>
      </w:pP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 xml:space="preserve">3. im </w:t>
      </w:r>
      <w:r>
        <w:rPr>
          <w:rFonts w:ascii="Times New Roman" w:eastAsia="MS Mincho" w:hAnsi="Times New Roman" w:cs="Times New Roman"/>
          <w:i/>
          <w:iCs/>
          <w:sz w:val="24"/>
        </w:rPr>
        <w:t>Speculum</w:t>
      </w:r>
      <w:r>
        <w:rPr>
          <w:rFonts w:ascii="Times New Roman" w:eastAsia="MS Mincho" w:hAnsi="Times New Roman" w:cs="Times New Roman"/>
          <w:sz w:val="24"/>
        </w:rPr>
        <w:t xml:space="preserve">  (S. 20f.) und in Briefen etc. erwähnte Werke</w:t>
      </w:r>
    </w:p>
    <w:p w:rsidR="00033488" w:rsidRPr="00033488" w:rsidRDefault="00033488" w:rsidP="00033488">
      <w:pPr>
        <w:pStyle w:val="NurText"/>
        <w:spacing w:line="360" w:lineRule="auto"/>
        <w:rPr>
          <w:rFonts w:ascii="Times New Roman" w:eastAsia="MS Mincho" w:hAnsi="Times New Roman" w:cs="Times New Roman"/>
          <w:sz w:val="24"/>
          <w:lang w:val="en-US"/>
        </w:rPr>
      </w:pPr>
      <w:r w:rsidRPr="00033488">
        <w:rPr>
          <w:rFonts w:ascii="Times New Roman" w:eastAsia="MS Mincho" w:hAnsi="Times New Roman" w:cs="Times New Roman"/>
          <w:i/>
          <w:iCs/>
          <w:sz w:val="24"/>
          <w:lang w:val="en-US"/>
        </w:rPr>
        <w:t>Requiem</w:t>
      </w:r>
      <w:r w:rsidRPr="00033488">
        <w:rPr>
          <w:rFonts w:ascii="Times New Roman" w:eastAsia="MS Mincho" w:hAnsi="Times New Roman" w:cs="Times New Roman"/>
          <w:sz w:val="24"/>
          <w:lang w:val="en-US"/>
        </w:rPr>
        <w:t xml:space="preserve">, 5 voc., 4 </w:t>
      </w:r>
      <w:proofErr w:type="gramStart"/>
      <w:r w:rsidRPr="00033488">
        <w:rPr>
          <w:rFonts w:ascii="Times New Roman" w:eastAsia="MS Mincho" w:hAnsi="Times New Roman" w:cs="Times New Roman"/>
          <w:sz w:val="24"/>
          <w:lang w:val="en-US"/>
        </w:rPr>
        <w:t>rip.,</w:t>
      </w:r>
      <w:proofErr w:type="gramEnd"/>
      <w:r w:rsidRPr="00033488">
        <w:rPr>
          <w:rFonts w:ascii="Times New Roman" w:eastAsia="MS Mincho" w:hAnsi="Times New Roman" w:cs="Times New Roman"/>
          <w:sz w:val="24"/>
          <w:lang w:val="en-US"/>
        </w:rPr>
        <w:t xml:space="preserve"> 2 oder 5 vln.. - </w:t>
      </w:r>
      <w:r w:rsidRPr="00033488">
        <w:rPr>
          <w:rFonts w:ascii="Times New Roman" w:eastAsia="MS Mincho" w:hAnsi="Times New Roman" w:cs="Times New Roman"/>
          <w:i/>
          <w:iCs/>
          <w:sz w:val="24"/>
          <w:lang w:val="en-US"/>
        </w:rPr>
        <w:t>Requiem</w:t>
      </w:r>
      <w:r w:rsidRPr="00033488">
        <w:rPr>
          <w:rFonts w:ascii="Times New Roman" w:eastAsia="MS Mincho" w:hAnsi="Times New Roman" w:cs="Times New Roman"/>
          <w:sz w:val="24"/>
          <w:lang w:val="en-US"/>
        </w:rPr>
        <w:t>, 6 voc. rip, 2 oder 5 vln ad plac</w:t>
      </w:r>
      <w:proofErr w:type="gramStart"/>
      <w:r w:rsidRPr="00033488">
        <w:rPr>
          <w:rFonts w:ascii="Times New Roman" w:eastAsia="MS Mincho" w:hAnsi="Times New Roman" w:cs="Times New Roman"/>
          <w:sz w:val="24"/>
          <w:lang w:val="en-US"/>
        </w:rPr>
        <w:t>..</w:t>
      </w:r>
      <w:proofErr w:type="gramEnd"/>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 xml:space="preserve">“noch zwei andere </w:t>
      </w:r>
      <w:r>
        <w:rPr>
          <w:rFonts w:ascii="Times New Roman" w:eastAsia="MS Mincho" w:hAnsi="Times New Roman" w:cs="Times New Roman"/>
          <w:i/>
          <w:iCs/>
          <w:sz w:val="24"/>
        </w:rPr>
        <w:t>Requiem</w:t>
      </w:r>
      <w:r>
        <w:rPr>
          <w:rFonts w:ascii="Times New Roman" w:eastAsia="MS Mincho" w:hAnsi="Times New Roman" w:cs="Times New Roman"/>
          <w:sz w:val="24"/>
        </w:rPr>
        <w:t xml:space="preserve"> mit vnderschidlichen Instrumenten vnnd Trombonis muttis“.</w:t>
      </w: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weitere Kompositionen „pro exequiis“, darunter ein „</w:t>
      </w:r>
      <w:r>
        <w:rPr>
          <w:rFonts w:ascii="Times New Roman" w:eastAsia="MS Mincho" w:hAnsi="Times New Roman" w:cs="Times New Roman"/>
          <w:i/>
          <w:iCs/>
          <w:sz w:val="24"/>
        </w:rPr>
        <w:t>Offertorium 6. vocum</w:t>
      </w:r>
      <w:r>
        <w:rPr>
          <w:rFonts w:ascii="Times New Roman" w:eastAsia="MS Mincho" w:hAnsi="Times New Roman" w:cs="Times New Roman"/>
          <w:sz w:val="24"/>
        </w:rPr>
        <w:t>“ und ein Kanon</w:t>
      </w:r>
    </w:p>
    <w:p w:rsidR="00033488" w:rsidRDefault="00033488" w:rsidP="00033488">
      <w:pPr>
        <w:pStyle w:val="NurText"/>
        <w:spacing w:line="360" w:lineRule="auto"/>
        <w:ind w:firstLine="708"/>
        <w:rPr>
          <w:rFonts w:ascii="Times New Roman" w:eastAsia="MS Mincho" w:hAnsi="Times New Roman" w:cs="Times New Roman"/>
          <w:sz w:val="24"/>
        </w:rPr>
      </w:pPr>
      <w:r>
        <w:rPr>
          <w:rFonts w:ascii="Times New Roman" w:eastAsia="MS Mincho" w:hAnsi="Times New Roman" w:cs="Times New Roman"/>
          <w:sz w:val="24"/>
        </w:rPr>
        <w:t>„</w:t>
      </w:r>
      <w:r>
        <w:rPr>
          <w:rFonts w:ascii="Times New Roman" w:eastAsia="MS Mincho" w:hAnsi="Times New Roman" w:cs="Times New Roman"/>
          <w:i/>
          <w:iCs/>
          <w:sz w:val="24"/>
        </w:rPr>
        <w:t>Miseremini</w:t>
      </w:r>
      <w:r>
        <w:rPr>
          <w:rFonts w:ascii="Times New Roman" w:eastAsia="MS Mincho" w:hAnsi="Times New Roman" w:cs="Times New Roman"/>
          <w:sz w:val="24"/>
        </w:rPr>
        <w:t>“.</w:t>
      </w: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 xml:space="preserve">„mancherlei </w:t>
      </w:r>
      <w:r>
        <w:rPr>
          <w:rFonts w:ascii="Times New Roman" w:eastAsia="MS Mincho" w:hAnsi="Times New Roman" w:cs="Times New Roman"/>
          <w:i/>
          <w:iCs/>
          <w:sz w:val="24"/>
        </w:rPr>
        <w:t>Concerte</w:t>
      </w:r>
      <w:r>
        <w:rPr>
          <w:rFonts w:ascii="Times New Roman" w:eastAsia="MS Mincho" w:hAnsi="Times New Roman" w:cs="Times New Roman"/>
          <w:sz w:val="24"/>
        </w:rPr>
        <w:t xml:space="preserve">“. - 25 deutsche </w:t>
      </w:r>
      <w:r>
        <w:rPr>
          <w:rFonts w:ascii="Times New Roman" w:eastAsia="MS Mincho" w:hAnsi="Times New Roman" w:cs="Times New Roman"/>
          <w:i/>
          <w:iCs/>
          <w:sz w:val="24"/>
        </w:rPr>
        <w:t>Marienlieder</w:t>
      </w:r>
      <w:r>
        <w:rPr>
          <w:rFonts w:ascii="Times New Roman" w:eastAsia="MS Mincho" w:hAnsi="Times New Roman" w:cs="Times New Roman"/>
          <w:sz w:val="24"/>
        </w:rPr>
        <w:t xml:space="preserve"> mit fünf Geigen.</w:t>
      </w: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w:t>
      </w:r>
      <w:r>
        <w:rPr>
          <w:rFonts w:ascii="Times New Roman" w:eastAsia="MS Mincho" w:hAnsi="Times New Roman" w:cs="Times New Roman"/>
          <w:i/>
          <w:iCs/>
          <w:sz w:val="24"/>
        </w:rPr>
        <w:t>O quam pulchra est</w:t>
      </w:r>
      <w:r>
        <w:rPr>
          <w:rFonts w:ascii="Times New Roman" w:eastAsia="MS Mincho" w:hAnsi="Times New Roman" w:cs="Times New Roman"/>
          <w:sz w:val="24"/>
        </w:rPr>
        <w:t>“ für Sopran und zwei Trombe marine.</w:t>
      </w:r>
    </w:p>
    <w:p w:rsidR="00033488" w:rsidRDefault="00033488" w:rsidP="00033488">
      <w:pPr>
        <w:pStyle w:val="NurText"/>
        <w:spacing w:line="360" w:lineRule="auto"/>
        <w:rPr>
          <w:rFonts w:ascii="Times New Roman" w:eastAsia="MS Mincho" w:hAnsi="Times New Roman" w:cs="Times New Roman"/>
          <w:i/>
          <w:iCs/>
          <w:sz w:val="24"/>
          <w:lang w:val="it-IT"/>
        </w:rPr>
      </w:pPr>
      <w:r>
        <w:rPr>
          <w:rFonts w:ascii="Times New Roman" w:eastAsia="MS Mincho" w:hAnsi="Times New Roman" w:cs="Times New Roman"/>
          <w:i/>
          <w:iCs/>
          <w:sz w:val="24"/>
          <w:lang w:val="it-IT"/>
        </w:rPr>
        <w:t>Lauretanische Litaneien, Alma redemptoris mater, Ave Regina coelorum, Salve Regina</w:t>
      </w:r>
    </w:p>
    <w:p w:rsidR="00033488" w:rsidRDefault="00033488" w:rsidP="00033488">
      <w:pPr>
        <w:pStyle w:val="NurText"/>
        <w:spacing w:line="360" w:lineRule="auto"/>
        <w:rPr>
          <w:rFonts w:ascii="Times New Roman" w:eastAsia="MS Mincho" w:hAnsi="Times New Roman" w:cs="Times New Roman"/>
          <w:i/>
          <w:iCs/>
          <w:sz w:val="24"/>
        </w:rPr>
      </w:pPr>
      <w:r>
        <w:rPr>
          <w:rFonts w:ascii="Times New Roman" w:eastAsia="MS Mincho" w:hAnsi="Times New Roman" w:cs="Times New Roman"/>
          <w:i/>
          <w:iCs/>
          <w:sz w:val="24"/>
        </w:rPr>
        <w:t>„Weihnachtsgsänger“.</w:t>
      </w: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i/>
          <w:iCs/>
          <w:sz w:val="24"/>
        </w:rPr>
        <w:t>„Antiphonarium</w:t>
      </w:r>
      <w:r>
        <w:rPr>
          <w:rFonts w:ascii="Times New Roman" w:eastAsia="MS Mincho" w:hAnsi="Times New Roman" w:cs="Times New Roman"/>
          <w:sz w:val="24"/>
        </w:rPr>
        <w:t xml:space="preserve"> mit neüem chorall, darzue ein orgl Pass“.</w:t>
      </w:r>
    </w:p>
    <w:p w:rsidR="00033488" w:rsidRDefault="00033488" w:rsidP="00033488">
      <w:pPr>
        <w:pStyle w:val="NurText"/>
        <w:spacing w:line="360" w:lineRule="auto"/>
        <w:rPr>
          <w:rFonts w:ascii="Times New Roman" w:eastAsia="MS Mincho" w:hAnsi="Times New Roman" w:cs="Times New Roman"/>
          <w:sz w:val="24"/>
          <w:lang w:val="fr-FR"/>
        </w:rPr>
      </w:pPr>
      <w:r>
        <w:rPr>
          <w:rFonts w:ascii="Times New Roman" w:eastAsia="MS Mincho" w:hAnsi="Times New Roman" w:cs="Times New Roman"/>
          <w:i/>
          <w:iCs/>
          <w:sz w:val="24"/>
          <w:lang w:val="fr-FR"/>
        </w:rPr>
        <w:t>Hymnus „de S. Augustino »,</w:t>
      </w:r>
      <w:r>
        <w:rPr>
          <w:rFonts w:ascii="Times New Roman" w:eastAsia="MS Mincho" w:hAnsi="Times New Roman" w:cs="Times New Roman"/>
          <w:sz w:val="24"/>
          <w:lang w:val="fr-FR"/>
        </w:rPr>
        <w:t xml:space="preserve"> 4 voc.</w:t>
      </w:r>
    </w:p>
    <w:p w:rsidR="00033488" w:rsidRDefault="00033488" w:rsidP="00033488">
      <w:pPr>
        <w:pStyle w:val="NurText"/>
        <w:spacing w:line="360" w:lineRule="auto"/>
        <w:rPr>
          <w:rFonts w:ascii="Times New Roman" w:eastAsia="MS Mincho" w:hAnsi="Times New Roman" w:cs="Times New Roman"/>
          <w:i/>
          <w:iCs/>
          <w:sz w:val="24"/>
        </w:rPr>
      </w:pPr>
      <w:r>
        <w:rPr>
          <w:rFonts w:ascii="Times New Roman" w:eastAsia="MS Mincho" w:hAnsi="Times New Roman" w:cs="Times New Roman"/>
          <w:sz w:val="24"/>
        </w:rPr>
        <w:t xml:space="preserve">„Psalmen, </w:t>
      </w:r>
      <w:r>
        <w:rPr>
          <w:rFonts w:ascii="Times New Roman" w:eastAsia="MS Mincho" w:hAnsi="Times New Roman" w:cs="Times New Roman"/>
          <w:i/>
          <w:iCs/>
          <w:sz w:val="24"/>
        </w:rPr>
        <w:t>Hesperus</w:t>
      </w:r>
      <w:r>
        <w:rPr>
          <w:rFonts w:ascii="Times New Roman" w:eastAsia="MS Mincho" w:hAnsi="Times New Roman" w:cs="Times New Roman"/>
          <w:sz w:val="24"/>
        </w:rPr>
        <w:t xml:space="preserve"> genannt“. - drei </w:t>
      </w:r>
      <w:r>
        <w:rPr>
          <w:rFonts w:ascii="Times New Roman" w:eastAsia="MS Mincho" w:hAnsi="Times New Roman" w:cs="Times New Roman"/>
          <w:i/>
          <w:iCs/>
          <w:sz w:val="24"/>
        </w:rPr>
        <w:t>Vespern</w:t>
      </w:r>
      <w:r>
        <w:rPr>
          <w:rFonts w:ascii="Times New Roman" w:eastAsia="MS Mincho" w:hAnsi="Times New Roman" w:cs="Times New Roman"/>
          <w:sz w:val="24"/>
        </w:rPr>
        <w:t xml:space="preserve">, 9 voc.. – </w:t>
      </w:r>
      <w:r>
        <w:rPr>
          <w:rFonts w:ascii="Times New Roman" w:eastAsia="MS Mincho" w:hAnsi="Times New Roman" w:cs="Times New Roman"/>
          <w:i/>
          <w:iCs/>
          <w:sz w:val="24"/>
        </w:rPr>
        <w:t xml:space="preserve">Magnificat. - </w:t>
      </w:r>
      <w:r>
        <w:rPr>
          <w:rFonts w:ascii="Times New Roman" w:eastAsia="MS Mincho" w:hAnsi="Times New Roman" w:cs="Times New Roman"/>
          <w:sz w:val="24"/>
        </w:rPr>
        <w:t xml:space="preserve">eine </w:t>
      </w:r>
      <w:r>
        <w:rPr>
          <w:rFonts w:ascii="Times New Roman" w:eastAsia="MS Mincho" w:hAnsi="Times New Roman" w:cs="Times New Roman"/>
          <w:i/>
          <w:iCs/>
          <w:sz w:val="24"/>
        </w:rPr>
        <w:t>Messe</w:t>
      </w:r>
    </w:p>
    <w:p w:rsidR="00033488" w:rsidRDefault="00033488" w:rsidP="00033488">
      <w:pPr>
        <w:pStyle w:val="NurText"/>
        <w:spacing w:line="360" w:lineRule="auto"/>
        <w:rPr>
          <w:rFonts w:ascii="Times New Roman" w:eastAsia="MS Mincho" w:hAnsi="Times New Roman" w:cs="Times New Roman"/>
          <w:i/>
          <w:iCs/>
          <w:sz w:val="24"/>
        </w:rPr>
      </w:pP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4. zweifelhafte Werke / Bearbeitungen</w:t>
      </w: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 xml:space="preserve">ein </w:t>
      </w:r>
      <w:r>
        <w:rPr>
          <w:rFonts w:ascii="Times New Roman" w:eastAsia="MS Mincho" w:hAnsi="Times New Roman" w:cs="Times New Roman"/>
          <w:i/>
          <w:iCs/>
          <w:sz w:val="24"/>
        </w:rPr>
        <w:t>Te Deum</w:t>
      </w:r>
      <w:r>
        <w:rPr>
          <w:rFonts w:ascii="Times New Roman" w:eastAsia="MS Mincho" w:hAnsi="Times New Roman" w:cs="Times New Roman"/>
          <w:sz w:val="24"/>
        </w:rPr>
        <w:t xml:space="preserve"> mit Trompeten, 1653 zur Wahl Ferdinands IV. zum römischen König in Salzburg und Altötting aufgeführt</w:t>
      </w:r>
    </w:p>
    <w:p w:rsidR="00033488" w:rsidRDefault="00033488" w:rsidP="00033488">
      <w:pPr>
        <w:pStyle w:val="NurText"/>
        <w:spacing w:line="360" w:lineRule="auto"/>
        <w:rPr>
          <w:rFonts w:ascii="Times New Roman" w:eastAsia="MS Mincho" w:hAnsi="Times New Roman" w:cs="Times New Roman"/>
          <w:sz w:val="24"/>
        </w:rPr>
      </w:pP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mehrere im Salzburger Konsistorialarchiv erhaltene Codices:</w:t>
      </w:r>
    </w:p>
    <w:p w:rsidR="00033488" w:rsidRDefault="00033488" w:rsidP="00033488">
      <w:pPr>
        <w:pStyle w:val="NurText"/>
        <w:spacing w:line="360" w:lineRule="auto"/>
        <w:rPr>
          <w:rFonts w:ascii="Times New Roman" w:eastAsia="MS Mincho" w:hAnsi="Times New Roman" w:cs="Times New Roman"/>
          <w:sz w:val="24"/>
          <w:lang w:val="fr-FR"/>
        </w:rPr>
      </w:pPr>
      <w:r>
        <w:rPr>
          <w:rFonts w:ascii="Times New Roman" w:eastAsia="MS Mincho" w:hAnsi="Times New Roman" w:cs="Times New Roman"/>
          <w:i/>
          <w:iCs/>
          <w:sz w:val="24"/>
          <w:lang w:val="fr-FR"/>
        </w:rPr>
        <w:t>Varia Kyrie paschalia a 4 et 5 vocum Introitu et Graduale</w:t>
      </w:r>
      <w:r>
        <w:rPr>
          <w:rFonts w:ascii="Times New Roman" w:eastAsia="MS Mincho" w:hAnsi="Times New Roman" w:cs="Times New Roman"/>
          <w:sz w:val="24"/>
          <w:lang w:val="fr-FR"/>
        </w:rPr>
        <w:t xml:space="preserve"> ... (Wb 30)</w:t>
      </w:r>
    </w:p>
    <w:p w:rsidR="00033488" w:rsidRDefault="00033488" w:rsidP="00033488">
      <w:pPr>
        <w:pStyle w:val="NurText"/>
        <w:spacing w:line="360" w:lineRule="auto"/>
        <w:rPr>
          <w:rFonts w:ascii="Times New Roman" w:eastAsia="MS Mincho" w:hAnsi="Times New Roman" w:cs="Times New Roman"/>
          <w:sz w:val="24"/>
          <w:lang w:val="it-IT"/>
        </w:rPr>
      </w:pPr>
      <w:r>
        <w:rPr>
          <w:rFonts w:ascii="Times New Roman" w:eastAsia="MS Mincho" w:hAnsi="Times New Roman" w:cs="Times New Roman"/>
          <w:i/>
          <w:iCs/>
          <w:sz w:val="24"/>
          <w:lang w:val="fr-FR"/>
        </w:rPr>
        <w:t>Gradualia, Tractus et Alleluja</w:t>
      </w:r>
      <w:r>
        <w:rPr>
          <w:rFonts w:ascii="Times New Roman" w:eastAsia="MS Mincho" w:hAnsi="Times New Roman" w:cs="Times New Roman"/>
          <w:sz w:val="24"/>
          <w:lang w:val="fr-FR"/>
        </w:rPr>
        <w:t xml:space="preserve"> ... </w:t>
      </w:r>
      <w:r>
        <w:rPr>
          <w:rFonts w:ascii="Times New Roman" w:eastAsia="MS Mincho" w:hAnsi="Times New Roman" w:cs="Times New Roman"/>
          <w:sz w:val="24"/>
          <w:lang w:val="it-IT"/>
        </w:rPr>
        <w:t>1642/43, 4 e 5 voc. (Wb 9/10)</w:t>
      </w:r>
    </w:p>
    <w:p w:rsidR="00033488" w:rsidRPr="009C6D65" w:rsidRDefault="00033488" w:rsidP="00033488">
      <w:pPr>
        <w:pStyle w:val="NurText"/>
        <w:spacing w:line="360" w:lineRule="auto"/>
        <w:rPr>
          <w:rFonts w:ascii="Times New Roman" w:eastAsia="MS Mincho" w:hAnsi="Times New Roman" w:cs="Times New Roman"/>
          <w:sz w:val="24"/>
          <w:lang w:val="en-US"/>
        </w:rPr>
      </w:pPr>
      <w:r>
        <w:rPr>
          <w:rFonts w:ascii="Times New Roman" w:eastAsia="MS Mincho" w:hAnsi="Times New Roman" w:cs="Times New Roman"/>
          <w:i/>
          <w:iCs/>
          <w:sz w:val="24"/>
          <w:lang w:val="it-IT"/>
        </w:rPr>
        <w:t>Hymni sacri ecclesiastici</w:t>
      </w:r>
      <w:r>
        <w:rPr>
          <w:rFonts w:ascii="Times New Roman" w:eastAsia="MS Mincho" w:hAnsi="Times New Roman" w:cs="Times New Roman"/>
          <w:sz w:val="24"/>
          <w:lang w:val="it-IT"/>
        </w:rPr>
        <w:t xml:space="preserve"> ... </w:t>
      </w:r>
      <w:r w:rsidRPr="009C6D65">
        <w:rPr>
          <w:rFonts w:ascii="Times New Roman" w:eastAsia="MS Mincho" w:hAnsi="Times New Roman" w:cs="Times New Roman"/>
          <w:sz w:val="24"/>
          <w:lang w:val="en-US"/>
        </w:rPr>
        <w:t xml:space="preserve">1649, 4 voc., bc (Wb </w:t>
      </w:r>
      <w:proofErr w:type="gramStart"/>
      <w:r w:rsidRPr="009C6D65">
        <w:rPr>
          <w:rFonts w:ascii="Times New Roman" w:eastAsia="MS Mincho" w:hAnsi="Times New Roman" w:cs="Times New Roman"/>
          <w:sz w:val="24"/>
          <w:lang w:val="en-US"/>
        </w:rPr>
        <w:t>13</w:t>
      </w:r>
      <w:proofErr w:type="gramEnd"/>
      <w:r w:rsidRPr="009C6D65">
        <w:rPr>
          <w:rFonts w:ascii="Times New Roman" w:eastAsia="MS Mincho" w:hAnsi="Times New Roman" w:cs="Times New Roman"/>
          <w:sz w:val="24"/>
          <w:lang w:val="en-US"/>
        </w:rPr>
        <w:t>)</w:t>
      </w:r>
    </w:p>
    <w:p w:rsidR="00033488" w:rsidRDefault="00033488" w:rsidP="00033488">
      <w:pPr>
        <w:pStyle w:val="Fuzeile"/>
        <w:tabs>
          <w:tab w:val="clear" w:pos="4536"/>
          <w:tab w:val="clear" w:pos="9072"/>
        </w:tabs>
        <w:spacing w:line="360" w:lineRule="auto"/>
        <w:rPr>
          <w:b/>
          <w:bCs/>
        </w:rPr>
      </w:pPr>
      <w:r w:rsidRPr="009C6D65">
        <w:br w:type="column"/>
      </w:r>
      <w:r>
        <w:lastRenderedPageBreak/>
        <w:t>XI. Verzeichnis der literarischen Werke und der schriftlichen Dokumente</w:t>
      </w:r>
    </w:p>
    <w:p w:rsidR="00033488" w:rsidRDefault="00033488" w:rsidP="00033488">
      <w:pPr>
        <w:spacing w:line="360" w:lineRule="auto"/>
      </w:pP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i/>
          <w:iCs/>
          <w:sz w:val="24"/>
        </w:rPr>
        <w:t>Speculum musico-mortuale Das ist Musicalischer Todtenspiegel</w:t>
      </w:r>
      <w:r>
        <w:rPr>
          <w:rFonts w:ascii="Times New Roman" w:eastAsia="MS Mincho" w:hAnsi="Times New Roman" w:cs="Times New Roman"/>
          <w:sz w:val="24"/>
        </w:rPr>
        <w:t xml:space="preserve">  ist das einzige erhaltene</w:t>
      </w:r>
    </w:p>
    <w:p w:rsidR="00033488" w:rsidRDefault="00033488" w:rsidP="00033488">
      <w:pPr>
        <w:pStyle w:val="NurText"/>
        <w:spacing w:line="360" w:lineRule="auto"/>
        <w:ind w:left="708"/>
        <w:rPr>
          <w:rFonts w:ascii="Times New Roman" w:eastAsia="MS Mincho" w:hAnsi="Times New Roman" w:cs="Times New Roman"/>
          <w:sz w:val="24"/>
        </w:rPr>
      </w:pPr>
      <w:r>
        <w:rPr>
          <w:rFonts w:ascii="Times New Roman" w:eastAsia="MS Mincho" w:hAnsi="Times New Roman" w:cs="Times New Roman"/>
          <w:sz w:val="24"/>
        </w:rPr>
        <w:t>literarische Werk Megerles; 1. in Altötting in der Kapuzinerbibliothek zu St. Konrad (Signatur: Musik 12o.14), 2. in Konstanz im Archiv des Dominikanerinnenklosters Zoffingen (Signatur: Faszikel Nr. 20); 3. in Salzburg in der Universitätsbibliothek (Signatur: 92.971.I); 4. (fragmentarisch) in Berlin(-Charlottenburg) in der Bibliothek (2) der Hochschule der Künste (Signatur: 5594).</w:t>
      </w:r>
    </w:p>
    <w:p w:rsidR="00033488" w:rsidRDefault="00033488" w:rsidP="00033488">
      <w:pPr>
        <w:pStyle w:val="NurText"/>
        <w:spacing w:line="360" w:lineRule="auto"/>
        <w:ind w:left="708"/>
        <w:rPr>
          <w:rFonts w:ascii="Times New Roman" w:eastAsia="MS Mincho" w:hAnsi="Times New Roman" w:cs="Times New Roman"/>
          <w:sz w:val="24"/>
        </w:rPr>
      </w:pPr>
      <w:r>
        <w:rPr>
          <w:rFonts w:ascii="Times New Roman" w:eastAsia="MS Mincho" w:hAnsi="Times New Roman" w:cs="Times New Roman"/>
          <w:sz w:val="24"/>
        </w:rPr>
        <w:t xml:space="preserve">Im </w:t>
      </w:r>
      <w:r>
        <w:rPr>
          <w:rFonts w:ascii="Times New Roman" w:eastAsia="MS Mincho" w:hAnsi="Times New Roman" w:cs="Times New Roman"/>
          <w:i/>
          <w:iCs/>
          <w:sz w:val="24"/>
        </w:rPr>
        <w:t>Beylag zu meinem Testament</w:t>
      </w:r>
      <w:r>
        <w:rPr>
          <w:rFonts w:ascii="Times New Roman" w:eastAsia="MS Mincho" w:hAnsi="Times New Roman" w:cs="Times New Roman"/>
          <w:sz w:val="24"/>
        </w:rPr>
        <w:t xml:space="preserve"> (10. S.) schreibt Megerle über sein </w:t>
      </w:r>
      <w:r>
        <w:rPr>
          <w:rFonts w:ascii="Times New Roman" w:eastAsia="MS Mincho" w:hAnsi="Times New Roman" w:cs="Times New Roman"/>
          <w:i/>
          <w:iCs/>
          <w:sz w:val="24"/>
        </w:rPr>
        <w:t>Speculum</w:t>
      </w:r>
      <w:r>
        <w:rPr>
          <w:rFonts w:ascii="Times New Roman" w:eastAsia="MS Mincho" w:hAnsi="Times New Roman" w:cs="Times New Roman"/>
          <w:sz w:val="24"/>
        </w:rPr>
        <w:t xml:space="preserve">, dass "dise biechlen vil gelt werden costen, weil sye 2 mahl gestochen, und dz erste mahl alles verworffen worden". Die dreieinhalb erhaltenen Exemplare stammen offensichtlich alle aus dem zweiten Druck von 1672. </w:t>
      </w:r>
    </w:p>
    <w:p w:rsidR="00033488" w:rsidRDefault="00033488" w:rsidP="00033488">
      <w:pPr>
        <w:pStyle w:val="NurText"/>
        <w:spacing w:line="360" w:lineRule="auto"/>
        <w:rPr>
          <w:rFonts w:ascii="Times New Roman" w:eastAsia="MS Mincho" w:hAnsi="Times New Roman" w:cs="Times New Roman"/>
          <w:sz w:val="24"/>
        </w:rPr>
      </w:pP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 xml:space="preserve">Im </w:t>
      </w:r>
      <w:r>
        <w:rPr>
          <w:rFonts w:ascii="Times New Roman" w:eastAsia="MS Mincho" w:hAnsi="Times New Roman" w:cs="Times New Roman"/>
          <w:i/>
          <w:iCs/>
          <w:sz w:val="24"/>
        </w:rPr>
        <w:t>Speculum</w:t>
      </w:r>
      <w:r>
        <w:rPr>
          <w:rFonts w:ascii="Times New Roman" w:eastAsia="MS Mincho" w:hAnsi="Times New Roman" w:cs="Times New Roman"/>
          <w:sz w:val="24"/>
        </w:rPr>
        <w:t xml:space="preserve"> werden zwei weitere Werke genannt:</w:t>
      </w: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i/>
          <w:iCs/>
          <w:sz w:val="24"/>
        </w:rPr>
        <w:t>Electuarium, zu Teutsch Geistlicher Krafft- oder Lebzelten</w:t>
      </w:r>
      <w:r>
        <w:rPr>
          <w:rFonts w:ascii="Times New Roman" w:eastAsia="MS Mincho" w:hAnsi="Times New Roman" w:cs="Times New Roman"/>
          <w:sz w:val="24"/>
        </w:rPr>
        <w:t xml:space="preserve">, gedruckt 1660. Dieses Büchlein </w:t>
      </w:r>
    </w:p>
    <w:p w:rsidR="00033488" w:rsidRDefault="00033488" w:rsidP="00033488">
      <w:pPr>
        <w:pStyle w:val="NurText"/>
        <w:spacing w:line="360" w:lineRule="auto"/>
        <w:ind w:firstLine="708"/>
        <w:rPr>
          <w:rFonts w:ascii="Times New Roman" w:eastAsia="MS Mincho" w:hAnsi="Times New Roman" w:cs="Times New Roman"/>
          <w:sz w:val="24"/>
        </w:rPr>
      </w:pPr>
      <w:r>
        <w:rPr>
          <w:rFonts w:ascii="Times New Roman" w:eastAsia="MS Mincho" w:hAnsi="Times New Roman" w:cs="Times New Roman"/>
          <w:sz w:val="24"/>
        </w:rPr>
        <w:t xml:space="preserve">wird im </w:t>
      </w:r>
      <w:r>
        <w:rPr>
          <w:rFonts w:ascii="Times New Roman" w:eastAsia="MS Mincho" w:hAnsi="Times New Roman" w:cs="Times New Roman"/>
          <w:i/>
          <w:iCs/>
          <w:sz w:val="24"/>
        </w:rPr>
        <w:t xml:space="preserve">Speculum </w:t>
      </w:r>
      <w:r>
        <w:rPr>
          <w:rFonts w:ascii="Times New Roman" w:eastAsia="MS Mincho" w:hAnsi="Times New Roman" w:cs="Times New Roman"/>
          <w:sz w:val="24"/>
        </w:rPr>
        <w:t>ausführlich referiert, S. 14-18.</w:t>
      </w:r>
      <w:r>
        <w:rPr>
          <w:rFonts w:ascii="Times New Roman" w:eastAsia="MS Mincho" w:hAnsi="Times New Roman" w:cs="Times New Roman"/>
          <w:i/>
          <w:iCs/>
          <w:sz w:val="24"/>
        </w:rPr>
        <w:t xml:space="preserve"> </w:t>
      </w:r>
      <w:r>
        <w:rPr>
          <w:rFonts w:ascii="Times New Roman" w:eastAsia="MS Mincho" w:hAnsi="Times New Roman" w:cs="Times New Roman"/>
          <w:sz w:val="24"/>
        </w:rPr>
        <w:t xml:space="preserve"> </w:t>
      </w:r>
    </w:p>
    <w:p w:rsidR="00033488" w:rsidRDefault="00033488" w:rsidP="00033488">
      <w:pPr>
        <w:pStyle w:val="NurText"/>
        <w:spacing w:line="360" w:lineRule="auto"/>
        <w:rPr>
          <w:rFonts w:ascii="Times New Roman" w:eastAsia="MS Mincho" w:hAnsi="Times New Roman" w:cs="Times New Roman"/>
          <w:i/>
          <w:iCs/>
          <w:sz w:val="24"/>
        </w:rPr>
      </w:pPr>
      <w:r>
        <w:rPr>
          <w:rFonts w:ascii="Times New Roman" w:eastAsia="MS Mincho" w:hAnsi="Times New Roman" w:cs="Times New Roman"/>
          <w:i/>
          <w:iCs/>
          <w:sz w:val="24"/>
        </w:rPr>
        <w:t>Scala Musica Coelestis, das ist / Musicalische Himmels-Laiter / sowohl Teutsch als</w:t>
      </w:r>
    </w:p>
    <w:p w:rsidR="00033488" w:rsidRDefault="00033488" w:rsidP="00033488">
      <w:pPr>
        <w:pStyle w:val="NurText"/>
        <w:spacing w:line="360" w:lineRule="auto"/>
        <w:ind w:firstLine="708"/>
        <w:rPr>
          <w:rFonts w:ascii="Times New Roman" w:eastAsia="MS Mincho" w:hAnsi="Times New Roman" w:cs="Times New Roman"/>
          <w:i/>
          <w:iCs/>
          <w:sz w:val="24"/>
        </w:rPr>
      </w:pPr>
      <w:r>
        <w:rPr>
          <w:rFonts w:ascii="Times New Roman" w:eastAsia="MS Mincho" w:hAnsi="Times New Roman" w:cs="Times New Roman"/>
          <w:i/>
          <w:iCs/>
          <w:sz w:val="24"/>
        </w:rPr>
        <w:t>Lateinisch</w:t>
      </w:r>
      <w:r>
        <w:rPr>
          <w:rFonts w:ascii="Times New Roman" w:eastAsia="MS Mincho" w:hAnsi="Times New Roman" w:cs="Times New Roman"/>
          <w:sz w:val="24"/>
        </w:rPr>
        <w:t>, wahrscheinlich ungedruckt („geliebts Gott zutrucken“), S. 20.</w:t>
      </w:r>
      <w:r>
        <w:rPr>
          <w:rFonts w:ascii="Times New Roman" w:eastAsia="MS Mincho" w:hAnsi="Times New Roman" w:cs="Times New Roman"/>
          <w:i/>
          <w:iCs/>
          <w:sz w:val="24"/>
        </w:rPr>
        <w:t xml:space="preserve"> </w:t>
      </w:r>
    </w:p>
    <w:p w:rsidR="00033488" w:rsidRDefault="00033488" w:rsidP="00033488">
      <w:pPr>
        <w:pStyle w:val="NurText"/>
        <w:spacing w:line="360" w:lineRule="auto"/>
        <w:ind w:firstLine="708"/>
        <w:rPr>
          <w:rFonts w:ascii="Times New Roman" w:eastAsia="MS Mincho" w:hAnsi="Times New Roman" w:cs="Times New Roman"/>
          <w:sz w:val="24"/>
        </w:rPr>
      </w:pP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 xml:space="preserve">Im </w:t>
      </w:r>
      <w:r>
        <w:rPr>
          <w:rFonts w:ascii="Times New Roman" w:eastAsia="MS Mincho" w:hAnsi="Times New Roman" w:cs="Times New Roman"/>
          <w:i/>
          <w:iCs/>
          <w:sz w:val="24"/>
        </w:rPr>
        <w:t>Speculum</w:t>
      </w:r>
      <w:r>
        <w:rPr>
          <w:rFonts w:ascii="Times New Roman" w:eastAsia="MS Mincho" w:hAnsi="Times New Roman" w:cs="Times New Roman"/>
          <w:sz w:val="24"/>
        </w:rPr>
        <w:t xml:space="preserve"> erwähnt Megerle S. 22 ein im Konstanzer Kloster Zoffingen erhaltenes Gemälde, das alle seine „getruckte und geschribne Musicalische Opera, auch andere Geistliche Bettbüchlein vnd Kupferstich“ in Form von (zum Teil unleserlich) beschrifteten Buchrücken wiedergibt. Außer dem im </w:t>
      </w:r>
      <w:r>
        <w:rPr>
          <w:rFonts w:ascii="Times New Roman" w:eastAsia="MS Mincho" w:hAnsi="Times New Roman" w:cs="Times New Roman"/>
          <w:i/>
          <w:iCs/>
          <w:sz w:val="24"/>
        </w:rPr>
        <w:t>Speculum</w:t>
      </w:r>
      <w:r>
        <w:rPr>
          <w:rFonts w:ascii="Times New Roman" w:eastAsia="MS Mincho" w:hAnsi="Times New Roman" w:cs="Times New Roman"/>
          <w:sz w:val="24"/>
        </w:rPr>
        <w:t xml:space="preserve">  genannten </w:t>
      </w:r>
      <w:r>
        <w:rPr>
          <w:rFonts w:ascii="Times New Roman" w:eastAsia="MS Mincho" w:hAnsi="Times New Roman" w:cs="Times New Roman"/>
          <w:i/>
          <w:iCs/>
          <w:sz w:val="24"/>
        </w:rPr>
        <w:t xml:space="preserve">Electuarium </w:t>
      </w:r>
      <w:r>
        <w:rPr>
          <w:rFonts w:ascii="Times New Roman" w:eastAsia="MS Mincho" w:hAnsi="Times New Roman" w:cs="Times New Roman"/>
          <w:sz w:val="24"/>
        </w:rPr>
        <w:t xml:space="preserve"> und  der </w:t>
      </w:r>
      <w:r>
        <w:rPr>
          <w:rFonts w:ascii="Times New Roman" w:eastAsia="MS Mincho" w:hAnsi="Times New Roman" w:cs="Times New Roman"/>
          <w:i/>
          <w:iCs/>
          <w:sz w:val="24"/>
        </w:rPr>
        <w:t xml:space="preserve">Scala Musica Coelestis, </w:t>
      </w:r>
      <w:r>
        <w:rPr>
          <w:rFonts w:ascii="Times New Roman" w:eastAsia="MS Mincho" w:hAnsi="Times New Roman" w:cs="Times New Roman"/>
          <w:sz w:val="24"/>
        </w:rPr>
        <w:t xml:space="preserve">folgende weitere literarische Arbeiten erschließen: </w:t>
      </w:r>
      <w:r>
        <w:rPr>
          <w:rFonts w:ascii="Times New Roman" w:eastAsia="MS Mincho" w:hAnsi="Times New Roman" w:cs="Times New Roman"/>
          <w:i/>
          <w:iCs/>
          <w:sz w:val="24"/>
        </w:rPr>
        <w:t xml:space="preserve">Exercitium </w:t>
      </w:r>
      <w:r>
        <w:rPr>
          <w:rFonts w:ascii="Times New Roman" w:eastAsia="MS Mincho" w:hAnsi="Times New Roman" w:cs="Times New Roman"/>
          <w:sz w:val="24"/>
        </w:rPr>
        <w:t xml:space="preserve">..., </w:t>
      </w:r>
      <w:r>
        <w:rPr>
          <w:rFonts w:ascii="Times New Roman" w:eastAsia="MS Mincho" w:hAnsi="Times New Roman" w:cs="Times New Roman"/>
          <w:i/>
          <w:iCs/>
          <w:sz w:val="24"/>
        </w:rPr>
        <w:t>Anchora salutis</w:t>
      </w:r>
      <w:r>
        <w:rPr>
          <w:rFonts w:ascii="Times New Roman" w:eastAsia="MS Mincho" w:hAnsi="Times New Roman" w:cs="Times New Roman"/>
          <w:sz w:val="24"/>
        </w:rPr>
        <w:t xml:space="preserve">, </w:t>
      </w:r>
      <w:r>
        <w:rPr>
          <w:rFonts w:ascii="Times New Roman" w:eastAsia="MS Mincho" w:hAnsi="Times New Roman" w:cs="Times New Roman"/>
          <w:i/>
          <w:iCs/>
          <w:sz w:val="24"/>
        </w:rPr>
        <w:t>Fasciculum Marianum</w:t>
      </w:r>
      <w:r>
        <w:rPr>
          <w:rFonts w:ascii="Times New Roman" w:eastAsia="MS Mincho" w:hAnsi="Times New Roman" w:cs="Times New Roman"/>
          <w:sz w:val="24"/>
        </w:rPr>
        <w:t xml:space="preserve">, </w:t>
      </w:r>
      <w:r>
        <w:rPr>
          <w:rFonts w:ascii="Times New Roman" w:eastAsia="MS Mincho" w:hAnsi="Times New Roman" w:cs="Times New Roman"/>
          <w:i/>
          <w:iCs/>
          <w:sz w:val="24"/>
        </w:rPr>
        <w:t>Consolatio animarum</w:t>
      </w:r>
      <w:r>
        <w:rPr>
          <w:rFonts w:ascii="Times New Roman" w:eastAsia="MS Mincho" w:hAnsi="Times New Roman" w:cs="Times New Roman"/>
          <w:sz w:val="24"/>
        </w:rPr>
        <w:t xml:space="preserve"> und </w:t>
      </w:r>
      <w:r>
        <w:rPr>
          <w:rFonts w:ascii="Times New Roman" w:eastAsia="MS Mincho" w:hAnsi="Times New Roman" w:cs="Times New Roman"/>
          <w:i/>
          <w:iCs/>
          <w:sz w:val="24"/>
        </w:rPr>
        <w:t>Imagines in cupro et metallo</w:t>
      </w:r>
      <w:r>
        <w:rPr>
          <w:rFonts w:ascii="Times New Roman" w:eastAsia="MS Mincho" w:hAnsi="Times New Roman" w:cs="Times New Roman"/>
          <w:sz w:val="24"/>
        </w:rPr>
        <w:t xml:space="preserve">. </w:t>
      </w:r>
    </w:p>
    <w:p w:rsidR="00033488" w:rsidRDefault="00033488" w:rsidP="00033488">
      <w:pPr>
        <w:spacing w:line="360" w:lineRule="auto"/>
      </w:pPr>
    </w:p>
    <w:p w:rsidR="00033488" w:rsidRDefault="00033488" w:rsidP="00033488">
      <w:pPr>
        <w:pStyle w:val="Fuzeile"/>
        <w:tabs>
          <w:tab w:val="clear" w:pos="4536"/>
          <w:tab w:val="clear" w:pos="9072"/>
        </w:tabs>
        <w:spacing w:line="360" w:lineRule="auto"/>
      </w:pPr>
      <w:r>
        <w:t>Schriftliche Dokumente sind alle im Kloster Zoffingen zu Konstanz im Faszikel Nr. 20 erhalten:</w:t>
      </w:r>
    </w:p>
    <w:p w:rsidR="00033488" w:rsidRDefault="00033488" w:rsidP="00033488">
      <w:pPr>
        <w:pStyle w:val="Fuzeile"/>
        <w:tabs>
          <w:tab w:val="clear" w:pos="4536"/>
          <w:tab w:val="clear" w:pos="9072"/>
        </w:tabs>
        <w:spacing w:line="360" w:lineRule="auto"/>
        <w:ind w:left="708"/>
      </w:pPr>
      <w:r>
        <w:t xml:space="preserve">zahlreiche Briefe, </w:t>
      </w:r>
      <w:r>
        <w:rPr>
          <w:i/>
          <w:iCs/>
        </w:rPr>
        <w:t>Beylag zu meinem Testament</w:t>
      </w:r>
      <w:r>
        <w:t xml:space="preserve"> samt </w:t>
      </w:r>
      <w:r>
        <w:rPr>
          <w:i/>
          <w:iCs/>
        </w:rPr>
        <w:t>Obsignation und Inventarium</w:t>
      </w:r>
      <w:r>
        <w:t xml:space="preserve"> seines Erbes, Überführungsbericht der von Megerle gestifteten Kopie der Altöttinger Madonna etc.</w:t>
      </w:r>
    </w:p>
    <w:p w:rsidR="00033488" w:rsidRDefault="00033488" w:rsidP="00033488">
      <w:pPr>
        <w:spacing w:line="360" w:lineRule="auto"/>
        <w:rPr>
          <w:rFonts w:eastAsia="MS Mincho"/>
          <w:i/>
          <w:iCs/>
        </w:rPr>
      </w:pPr>
      <w:r>
        <w:rPr>
          <w:rFonts w:eastAsia="MS Mincho"/>
        </w:rPr>
        <w:t xml:space="preserve">Abraham a Sancta Clara, </w:t>
      </w:r>
      <w:r>
        <w:rPr>
          <w:rFonts w:eastAsia="MS Mincho"/>
          <w:i/>
          <w:iCs/>
        </w:rPr>
        <w:t>Epitome elogiorum</w:t>
      </w:r>
      <w:r>
        <w:rPr>
          <w:rFonts w:eastAsia="MS Mincho"/>
        </w:rPr>
        <w:t xml:space="preserve">, Wien 1670, Neudruck: </w:t>
      </w:r>
      <w:r>
        <w:rPr>
          <w:rFonts w:eastAsia="MS Mincho"/>
          <w:i/>
          <w:iCs/>
        </w:rPr>
        <w:t xml:space="preserve">Werke von Abraham a </w:t>
      </w:r>
    </w:p>
    <w:p w:rsidR="00033488" w:rsidRDefault="00033488" w:rsidP="00033488">
      <w:pPr>
        <w:spacing w:line="360" w:lineRule="auto"/>
        <w:ind w:left="708"/>
        <w:rPr>
          <w:rFonts w:eastAsia="MS Mincho"/>
        </w:rPr>
      </w:pPr>
      <w:r>
        <w:rPr>
          <w:rFonts w:eastAsia="MS Mincho"/>
          <w:i/>
          <w:iCs/>
        </w:rPr>
        <w:t>Sancta Clara</w:t>
      </w:r>
      <w:r>
        <w:rPr>
          <w:rFonts w:eastAsia="MS Mincho"/>
        </w:rPr>
        <w:t>, aus dem handschriftlichen Nachlaß hg. von der Akad. der Wiss. in Wien, bearb. von Karl Bertsche, Bd. III, Wien 1945, S. 449-473 (mit dt. Übersetzung).</w:t>
      </w:r>
    </w:p>
    <w:p w:rsidR="00033488" w:rsidRDefault="00033488" w:rsidP="00033488">
      <w:pPr>
        <w:pStyle w:val="Fuzeile"/>
        <w:tabs>
          <w:tab w:val="clear" w:pos="4536"/>
          <w:tab w:val="clear" w:pos="9072"/>
        </w:tabs>
        <w:spacing w:line="360" w:lineRule="auto"/>
        <w:rPr>
          <w:rFonts w:eastAsia="MS Mincho"/>
        </w:rPr>
      </w:pPr>
      <w:r>
        <w:rPr>
          <w:rFonts w:eastAsia="MS Mincho"/>
        </w:rPr>
        <w:br w:type="column"/>
      </w:r>
      <w:r>
        <w:rPr>
          <w:rFonts w:eastAsia="MS Mincho"/>
        </w:rPr>
        <w:lastRenderedPageBreak/>
        <w:t>XII. Verzeichnis der Porträts</w:t>
      </w:r>
    </w:p>
    <w:p w:rsidR="00033488" w:rsidRDefault="00033488" w:rsidP="00033488">
      <w:pPr>
        <w:spacing w:line="360" w:lineRule="auto"/>
        <w:ind w:left="708"/>
        <w:rPr>
          <w:rFonts w:eastAsia="MS Mincho"/>
        </w:rPr>
      </w:pPr>
    </w:p>
    <w:p w:rsidR="00033488" w:rsidRDefault="00033488" w:rsidP="00033488">
      <w:pPr>
        <w:pStyle w:val="NurText"/>
        <w:spacing w:line="360" w:lineRule="auto"/>
        <w:rPr>
          <w:rFonts w:ascii="Times New Roman" w:eastAsia="MS Mincho" w:hAnsi="Times New Roman" w:cs="Times New Roman"/>
          <w:i/>
          <w:iCs/>
          <w:sz w:val="24"/>
        </w:rPr>
      </w:pPr>
      <w:r>
        <w:rPr>
          <w:rFonts w:ascii="Times New Roman" w:eastAsia="MS Mincho" w:hAnsi="Times New Roman" w:cs="Times New Roman"/>
          <w:sz w:val="24"/>
        </w:rPr>
        <w:t xml:space="preserve">1. </w:t>
      </w:r>
      <w:r>
        <w:rPr>
          <w:rFonts w:ascii="Times New Roman" w:eastAsia="MS Mincho" w:hAnsi="Times New Roman" w:cs="Times New Roman"/>
          <w:sz w:val="24"/>
        </w:rPr>
        <w:tab/>
        <w:t xml:space="preserve">der Kupferstich im Titelblatt des </w:t>
      </w:r>
      <w:r>
        <w:rPr>
          <w:rFonts w:ascii="Times New Roman" w:eastAsia="MS Mincho" w:hAnsi="Times New Roman" w:cs="Times New Roman"/>
          <w:i/>
          <w:iCs/>
          <w:sz w:val="24"/>
        </w:rPr>
        <w:t xml:space="preserve">Speculum </w:t>
      </w: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2.</w:t>
      </w:r>
      <w:r>
        <w:rPr>
          <w:rFonts w:ascii="Times New Roman" w:eastAsia="MS Mincho" w:hAnsi="Times New Roman" w:cs="Times New Roman"/>
          <w:sz w:val="24"/>
        </w:rPr>
        <w:tab/>
        <w:t>„Christus mit dem Creutz in der Glory“ (</w:t>
      </w:r>
      <w:r>
        <w:rPr>
          <w:rFonts w:ascii="Times New Roman" w:eastAsia="MS Mincho" w:hAnsi="Times New Roman" w:cs="Times New Roman"/>
          <w:i/>
          <w:iCs/>
          <w:sz w:val="24"/>
        </w:rPr>
        <w:t>Speculum</w:t>
      </w:r>
      <w:r>
        <w:rPr>
          <w:rFonts w:ascii="Times New Roman" w:eastAsia="MS Mincho" w:hAnsi="Times New Roman" w:cs="Times New Roman"/>
          <w:sz w:val="24"/>
        </w:rPr>
        <w:t xml:space="preserve"> , S. 22), Ölgemälde mit dem</w:t>
      </w: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 xml:space="preserve"> </w:t>
      </w:r>
      <w:r>
        <w:rPr>
          <w:rFonts w:ascii="Times New Roman" w:eastAsia="MS Mincho" w:hAnsi="Times New Roman" w:cs="Times New Roman"/>
          <w:sz w:val="24"/>
        </w:rPr>
        <w:tab/>
      </w:r>
      <w:r>
        <w:rPr>
          <w:rFonts w:ascii="Times New Roman" w:eastAsia="MS Mincho" w:hAnsi="Times New Roman" w:cs="Times New Roman"/>
          <w:sz w:val="24"/>
        </w:rPr>
        <w:tab/>
        <w:t>knieenden Megerle als Stifter und seinen Werken (erhalten in Zoffingen)</w:t>
      </w: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3.</w:t>
      </w:r>
      <w:r>
        <w:rPr>
          <w:rFonts w:ascii="Times New Roman" w:eastAsia="MS Mincho" w:hAnsi="Times New Roman" w:cs="Times New Roman"/>
          <w:sz w:val="24"/>
        </w:rPr>
        <w:tab/>
        <w:t xml:space="preserve"> „Vnser L. Frau in der Glory“ (</w:t>
      </w:r>
      <w:r>
        <w:rPr>
          <w:rFonts w:ascii="Times New Roman" w:eastAsia="MS Mincho" w:hAnsi="Times New Roman" w:cs="Times New Roman"/>
          <w:i/>
          <w:iCs/>
          <w:sz w:val="24"/>
        </w:rPr>
        <w:t>Speculum</w:t>
      </w:r>
      <w:r>
        <w:rPr>
          <w:rFonts w:ascii="Times New Roman" w:eastAsia="MS Mincho" w:hAnsi="Times New Roman" w:cs="Times New Roman"/>
          <w:sz w:val="24"/>
        </w:rPr>
        <w:t xml:space="preserve">  S. 22), Ölgemälde mit dem knieenden</w:t>
      </w:r>
    </w:p>
    <w:p w:rsidR="00033488" w:rsidRDefault="00033488" w:rsidP="00033488">
      <w:pPr>
        <w:pStyle w:val="NurText"/>
        <w:spacing w:line="360" w:lineRule="auto"/>
        <w:ind w:left="708" w:firstLine="708"/>
        <w:rPr>
          <w:rFonts w:ascii="Times New Roman" w:eastAsia="MS Mincho" w:hAnsi="Times New Roman" w:cs="Times New Roman"/>
          <w:sz w:val="24"/>
        </w:rPr>
      </w:pPr>
      <w:r>
        <w:rPr>
          <w:rFonts w:ascii="Times New Roman" w:eastAsia="MS Mincho" w:hAnsi="Times New Roman" w:cs="Times New Roman"/>
          <w:sz w:val="24"/>
        </w:rPr>
        <w:t>Megerle als Stifter und den von ihm als Kapellmeister benutzten Instrumenten,</w:t>
      </w:r>
    </w:p>
    <w:p w:rsidR="00033488" w:rsidRDefault="00033488" w:rsidP="00033488">
      <w:pPr>
        <w:pStyle w:val="NurText"/>
        <w:spacing w:line="360" w:lineRule="auto"/>
        <w:ind w:left="708" w:firstLine="708"/>
        <w:rPr>
          <w:rFonts w:ascii="Times New Roman" w:eastAsia="MS Mincho" w:hAnsi="Times New Roman" w:cs="Times New Roman"/>
          <w:sz w:val="24"/>
        </w:rPr>
      </w:pPr>
      <w:r>
        <w:rPr>
          <w:rFonts w:ascii="Times New Roman" w:eastAsia="MS Mincho" w:hAnsi="Times New Roman" w:cs="Times New Roman"/>
          <w:sz w:val="24"/>
        </w:rPr>
        <w:t>(erhalten in Zoffingen)</w:t>
      </w: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 xml:space="preserve">4. </w:t>
      </w:r>
      <w:r>
        <w:rPr>
          <w:rFonts w:ascii="Times New Roman" w:eastAsia="MS Mincho" w:hAnsi="Times New Roman" w:cs="Times New Roman"/>
          <w:sz w:val="24"/>
        </w:rPr>
        <w:tab/>
        <w:t>ein Kupferstich mit Megerle ca. im 45. Lebensjahr (nach erfolgter Nobilitation), in der</w:t>
      </w:r>
    </w:p>
    <w:p w:rsidR="00033488" w:rsidRDefault="00033488" w:rsidP="00033488">
      <w:pPr>
        <w:pStyle w:val="NurText"/>
        <w:spacing w:line="360" w:lineRule="auto"/>
        <w:ind w:left="708" w:firstLine="708"/>
        <w:rPr>
          <w:rFonts w:ascii="Times New Roman" w:eastAsia="MS Mincho" w:hAnsi="Times New Roman" w:cs="Times New Roman"/>
          <w:sz w:val="24"/>
        </w:rPr>
      </w:pPr>
      <w:r>
        <w:rPr>
          <w:rFonts w:ascii="Times New Roman" w:eastAsia="MS Mincho" w:hAnsi="Times New Roman" w:cs="Times New Roman"/>
          <w:sz w:val="24"/>
        </w:rPr>
        <w:t>Hand das „Leibeigenband“ (erhalten in Zoffingen).</w:t>
      </w: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 xml:space="preserve">5. </w:t>
      </w:r>
      <w:r>
        <w:rPr>
          <w:rFonts w:ascii="Times New Roman" w:eastAsia="MS Mincho" w:hAnsi="Times New Roman" w:cs="Times New Roman"/>
          <w:sz w:val="24"/>
        </w:rPr>
        <w:tab/>
        <w:t>ein Kupferstich mit Megerle „aetatis 39“.</w:t>
      </w: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 xml:space="preserve">6. </w:t>
      </w:r>
      <w:r>
        <w:rPr>
          <w:rFonts w:ascii="Times New Roman" w:eastAsia="MS Mincho" w:hAnsi="Times New Roman" w:cs="Times New Roman"/>
          <w:sz w:val="24"/>
        </w:rPr>
        <w:tab/>
        <w:t>ein Kupferstich mit dem hl. Dominicus und Megerle mit vorgehaltenem brennendem</w:t>
      </w:r>
    </w:p>
    <w:p w:rsidR="00033488" w:rsidRDefault="00033488" w:rsidP="00033488">
      <w:pPr>
        <w:pStyle w:val="NurText"/>
        <w:spacing w:line="360" w:lineRule="auto"/>
        <w:ind w:left="708" w:firstLine="708"/>
        <w:rPr>
          <w:rFonts w:ascii="Times New Roman" w:eastAsia="MS Mincho" w:hAnsi="Times New Roman" w:cs="Times New Roman"/>
          <w:sz w:val="24"/>
        </w:rPr>
      </w:pPr>
      <w:r>
        <w:rPr>
          <w:rFonts w:ascii="Times New Roman" w:eastAsia="MS Mincho" w:hAnsi="Times New Roman" w:cs="Times New Roman"/>
          <w:sz w:val="24"/>
        </w:rPr>
        <w:t>Herzen vor dem Altöttinger Gnadenbild, für einen Zoffinger Gebetszettel</w:t>
      </w:r>
    </w:p>
    <w:p w:rsidR="00033488" w:rsidRDefault="00033488" w:rsidP="00033488">
      <w:pPr>
        <w:pStyle w:val="NurText"/>
        <w:spacing w:line="360" w:lineRule="auto"/>
        <w:ind w:left="708" w:firstLine="708"/>
        <w:rPr>
          <w:rFonts w:ascii="Times New Roman" w:eastAsia="MS Mincho" w:hAnsi="Times New Roman" w:cs="Times New Roman"/>
          <w:sz w:val="24"/>
        </w:rPr>
      </w:pPr>
      <w:r>
        <w:rPr>
          <w:rFonts w:ascii="Times New Roman" w:eastAsia="MS Mincho" w:hAnsi="Times New Roman" w:cs="Times New Roman"/>
          <w:sz w:val="24"/>
        </w:rPr>
        <w:t xml:space="preserve">(Megerle hatte 1654 für Zoffingen eine Kopie der Altöttinger Madonna </w:t>
      </w:r>
    </w:p>
    <w:p w:rsidR="00033488" w:rsidRDefault="00033488" w:rsidP="00033488">
      <w:pPr>
        <w:pStyle w:val="NurText"/>
        <w:spacing w:line="360" w:lineRule="auto"/>
        <w:ind w:left="708" w:firstLine="708"/>
        <w:rPr>
          <w:rFonts w:ascii="Times New Roman" w:eastAsia="MS Mincho" w:hAnsi="Times New Roman" w:cs="Times New Roman"/>
          <w:sz w:val="24"/>
        </w:rPr>
      </w:pPr>
      <w:r>
        <w:rPr>
          <w:rFonts w:ascii="Times New Roman" w:eastAsia="MS Mincho" w:hAnsi="Times New Roman" w:cs="Times New Roman"/>
          <w:sz w:val="24"/>
        </w:rPr>
        <w:t>gestiftet.) (mit Kupferplatte erhalten in Zoffingen).</w:t>
      </w: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7.</w:t>
      </w:r>
      <w:r>
        <w:rPr>
          <w:rFonts w:ascii="Times New Roman" w:eastAsia="MS Mincho" w:hAnsi="Times New Roman" w:cs="Times New Roman"/>
          <w:sz w:val="24"/>
        </w:rPr>
        <w:tab/>
        <w:t xml:space="preserve">ein dreiteiliges Reliefbild aus Silber auf blauem Samt mit dem knieenden Megerle, </w:t>
      </w:r>
    </w:p>
    <w:p w:rsidR="00033488" w:rsidRDefault="00033488" w:rsidP="00033488">
      <w:pPr>
        <w:pStyle w:val="NurText"/>
        <w:spacing w:line="360" w:lineRule="auto"/>
        <w:ind w:left="708" w:firstLine="708"/>
        <w:rPr>
          <w:rFonts w:ascii="Times New Roman" w:eastAsia="MS Mincho" w:hAnsi="Times New Roman" w:cs="Times New Roman"/>
          <w:sz w:val="24"/>
        </w:rPr>
      </w:pPr>
      <w:r>
        <w:rPr>
          <w:rFonts w:ascii="Times New Roman" w:eastAsia="MS Mincho" w:hAnsi="Times New Roman" w:cs="Times New Roman"/>
          <w:sz w:val="24"/>
        </w:rPr>
        <w:t>dem Gnadenbild von Altötting und Megerles Wappen mit den Initialen AM.</w:t>
      </w:r>
    </w:p>
    <w:p w:rsidR="00033488" w:rsidRDefault="00033488" w:rsidP="00033488">
      <w:pPr>
        <w:pStyle w:val="NurText"/>
        <w:spacing w:line="360" w:lineRule="auto"/>
        <w:ind w:left="708" w:firstLine="708"/>
        <w:rPr>
          <w:rFonts w:ascii="Times New Roman" w:eastAsia="MS Mincho" w:hAnsi="Times New Roman" w:cs="Times New Roman"/>
          <w:sz w:val="24"/>
        </w:rPr>
      </w:pPr>
      <w:r>
        <w:rPr>
          <w:rFonts w:ascii="Times New Roman" w:eastAsia="MS Mincho" w:hAnsi="Times New Roman" w:cs="Times New Roman"/>
          <w:sz w:val="24"/>
        </w:rPr>
        <w:t>(erhalten in Zoffingen)</w:t>
      </w: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 xml:space="preserve">8. </w:t>
      </w:r>
      <w:r>
        <w:rPr>
          <w:rFonts w:ascii="Times New Roman" w:eastAsia="MS Mincho" w:hAnsi="Times New Roman" w:cs="Times New Roman"/>
          <w:sz w:val="24"/>
        </w:rPr>
        <w:tab/>
        <w:t>zwei Porträts die sich in der ehemaligen Privatbibliothek des Kaisers von Österreich</w:t>
      </w:r>
    </w:p>
    <w:p w:rsidR="00033488" w:rsidRDefault="00033488" w:rsidP="00033488">
      <w:pPr>
        <w:pStyle w:val="NurText"/>
        <w:spacing w:line="360" w:lineRule="auto"/>
        <w:ind w:left="708" w:firstLine="708"/>
        <w:rPr>
          <w:rFonts w:ascii="Times New Roman" w:eastAsia="MS Mincho" w:hAnsi="Times New Roman" w:cs="Times New Roman"/>
          <w:sz w:val="24"/>
        </w:rPr>
      </w:pPr>
      <w:r>
        <w:rPr>
          <w:rFonts w:ascii="Times New Roman" w:eastAsia="MS Mincho" w:hAnsi="Times New Roman" w:cs="Times New Roman"/>
          <w:sz w:val="24"/>
        </w:rPr>
        <w:t>befinden  (Wien? S. Albert 439)</w:t>
      </w: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 xml:space="preserve">9. </w:t>
      </w:r>
      <w:r>
        <w:rPr>
          <w:rFonts w:ascii="Times New Roman" w:eastAsia="MS Mincho" w:hAnsi="Times New Roman" w:cs="Times New Roman"/>
          <w:sz w:val="24"/>
        </w:rPr>
        <w:tab/>
        <w:t>ein Kupferstich-Brustbild „aetatis suae 57“ in der Bayerischen Staatsbibliothek</w:t>
      </w:r>
    </w:p>
    <w:p w:rsidR="00033488" w:rsidRDefault="00033488" w:rsidP="00033488">
      <w:pPr>
        <w:pStyle w:val="NurText"/>
        <w:spacing w:line="360" w:lineRule="auto"/>
        <w:ind w:left="708" w:firstLine="708"/>
        <w:rPr>
          <w:rFonts w:ascii="Times New Roman" w:eastAsia="MS Mincho" w:hAnsi="Times New Roman" w:cs="Times New Roman"/>
          <w:sz w:val="24"/>
        </w:rPr>
      </w:pPr>
      <w:r>
        <w:rPr>
          <w:rFonts w:ascii="Times New Roman" w:eastAsia="MS Mincho" w:hAnsi="Times New Roman" w:cs="Times New Roman"/>
          <w:sz w:val="24"/>
        </w:rPr>
        <w:t>München (Cod. bav. 1995, Fol. 112). (Albert S. 43)</w:t>
      </w:r>
    </w:p>
    <w:p w:rsidR="00033488" w:rsidRDefault="00033488" w:rsidP="00033488">
      <w:pPr>
        <w:pStyle w:val="NurText"/>
        <w:spacing w:line="360" w:lineRule="auto"/>
        <w:rPr>
          <w:rFonts w:ascii="Times New Roman" w:eastAsia="MS Mincho" w:hAnsi="Times New Roman" w:cs="Times New Roman"/>
          <w:sz w:val="24"/>
        </w:rPr>
      </w:pP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 xml:space="preserve">Im </w:t>
      </w:r>
      <w:r>
        <w:rPr>
          <w:rFonts w:ascii="Times New Roman" w:eastAsia="MS Mincho" w:hAnsi="Times New Roman" w:cs="Times New Roman"/>
          <w:i/>
          <w:iCs/>
          <w:sz w:val="24"/>
        </w:rPr>
        <w:t>Beylag zu meinem Testament</w:t>
      </w:r>
      <w:r>
        <w:rPr>
          <w:rFonts w:ascii="Times New Roman" w:eastAsia="MS Mincho" w:hAnsi="Times New Roman" w:cs="Times New Roman"/>
          <w:sz w:val="24"/>
        </w:rPr>
        <w:t xml:space="preserve"> (41. S.) erwähnt Megerle außerdem sein „Contrafe eingefast mitsambt dem stängl und roth Cartissnen fürheng, dergestalten, dz manns allezeit solt in der Capitlstuben hangen lassen“ (verschollen), ebenso (30. S.) „1 Gläßernes khäntl mit seinem Zinen luckh mit des Herrn [Megerles] Biltnuß.“ sowie (ebd.) „1 Schwarz eingepaistes schönes Täfele, darin des herrn Contrafe mit des Erzbischoven Paridis zu Salzburg Bildtnuß, auf weissen Atläs“. - In </w:t>
      </w:r>
      <w:r>
        <w:rPr>
          <w:rFonts w:ascii="Times New Roman" w:eastAsia="MS Mincho" w:hAnsi="Times New Roman" w:cs="Times New Roman"/>
          <w:i/>
          <w:iCs/>
          <w:sz w:val="24"/>
        </w:rPr>
        <w:t>Obsignation und Inuentarium</w:t>
      </w:r>
      <w:r>
        <w:rPr>
          <w:rFonts w:ascii="Times New Roman" w:eastAsia="MS Mincho" w:hAnsi="Times New Roman" w:cs="Times New Roman"/>
          <w:sz w:val="24"/>
        </w:rPr>
        <w:t xml:space="preserve"> werden aufgeführt: „1 Contrafe des abgeleibten H: Megerles seel: mit Jesu Mariae nammen.“ (22. S.) sowie „1 Tafel mit des verstorbenen H: Megerles seel: contrafe.“ (20. S.).</w:t>
      </w:r>
    </w:p>
    <w:p w:rsidR="00033488" w:rsidRDefault="00033488" w:rsidP="00033488">
      <w:pPr>
        <w:spacing w:line="360" w:lineRule="auto"/>
        <w:rPr>
          <w:rFonts w:eastAsia="MS Mincho"/>
        </w:rPr>
      </w:pPr>
    </w:p>
    <w:p w:rsidR="00033488" w:rsidRDefault="00033488" w:rsidP="00033488">
      <w:pPr>
        <w:spacing w:line="360" w:lineRule="auto"/>
        <w:rPr>
          <w:rFonts w:eastAsia="MS Mincho"/>
        </w:rPr>
      </w:pPr>
      <w:r>
        <w:rPr>
          <w:rFonts w:eastAsia="MS Mincho"/>
        </w:rPr>
        <w:t xml:space="preserve">Epitaphien in Altötting (Kreuzgang) und Konstanz (Kirche des Klosters Zoffingen, </w:t>
      </w:r>
    </w:p>
    <w:p w:rsidR="00033488" w:rsidRDefault="00033488" w:rsidP="00033488">
      <w:pPr>
        <w:pStyle w:val="NurText"/>
        <w:spacing w:line="360" w:lineRule="auto"/>
        <w:rPr>
          <w:rFonts w:ascii="Times New Roman" w:eastAsia="MS Mincho" w:hAnsi="Times New Roman" w:cs="Times New Roman"/>
          <w:sz w:val="24"/>
        </w:rPr>
      </w:pPr>
      <w:r>
        <w:rPr>
          <w:rFonts w:ascii="Times New Roman" w:eastAsia="MS Mincho" w:hAnsi="Times New Roman" w:cs="Times New Roman"/>
          <w:sz w:val="24"/>
        </w:rPr>
        <w:t>dort auch weitere von Megerle gestiftete Sakralgegenstände, wie Heiligenfiguren etc.)</w:t>
      </w:r>
    </w:p>
    <w:p w:rsidR="00E452D9" w:rsidRDefault="00E452D9"/>
    <w:sectPr w:rsidR="00E452D9">
      <w:footerReference w:type="even" r:id="rId8"/>
      <w:footerReference w:type="default" r:id="rId9"/>
      <w:pgSz w:w="11906" w:h="16838"/>
      <w:pgMar w:top="1418" w:right="1151" w:bottom="1134" w:left="115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6D65" w:rsidRDefault="009C6D65" w:rsidP="00033488">
      <w:r>
        <w:separator/>
      </w:r>
    </w:p>
  </w:endnote>
  <w:endnote w:type="continuationSeparator" w:id="0">
    <w:p w:rsidR="009C6D65" w:rsidRDefault="009C6D65" w:rsidP="000334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6D65" w:rsidRDefault="009C6D65">
    <w:pPr>
      <w:pStyle w:val="Fuzeile"/>
      <w:framePr w:wrap="around" w:vAnchor="text" w:hAnchor="margin" w:xAlign="outside" w:y="1"/>
      <w:rPr>
        <w:rStyle w:val="Seitenzahl"/>
      </w:rPr>
    </w:pPr>
    <w:r>
      <w:rPr>
        <w:rStyle w:val="Seitenzahl"/>
      </w:rPr>
      <w:fldChar w:fldCharType="begin"/>
    </w:r>
    <w:r>
      <w:rPr>
        <w:rStyle w:val="Seitenzahl"/>
      </w:rPr>
      <w:instrText xml:space="preserve">PAGE  </w:instrText>
    </w:r>
    <w:r>
      <w:rPr>
        <w:rStyle w:val="Seitenzahl"/>
      </w:rPr>
      <w:fldChar w:fldCharType="end"/>
    </w:r>
  </w:p>
  <w:p w:rsidR="009C6D65" w:rsidRDefault="009C6D65">
    <w:pPr>
      <w:pStyle w:val="Fuzeil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6D65" w:rsidRDefault="009C6D65">
    <w:pPr>
      <w:pStyle w:val="Fuzeile"/>
      <w:framePr w:wrap="around" w:vAnchor="text" w:hAnchor="margin" w:xAlign="outside" w:y="1"/>
      <w:rPr>
        <w:rStyle w:val="Seitenzahl"/>
      </w:rPr>
    </w:pPr>
    <w:r>
      <w:rPr>
        <w:rStyle w:val="Seitenzahl"/>
      </w:rPr>
      <w:fldChar w:fldCharType="begin"/>
    </w:r>
    <w:r>
      <w:rPr>
        <w:rStyle w:val="Seitenzahl"/>
      </w:rPr>
      <w:instrText xml:space="preserve">PAGE  </w:instrText>
    </w:r>
    <w:r>
      <w:rPr>
        <w:rStyle w:val="Seitenzahl"/>
      </w:rPr>
      <w:fldChar w:fldCharType="separate"/>
    </w:r>
    <w:r w:rsidR="003C0FA7">
      <w:rPr>
        <w:rStyle w:val="Seitenzahl"/>
        <w:noProof/>
      </w:rPr>
      <w:t>2</w:t>
    </w:r>
    <w:r>
      <w:rPr>
        <w:rStyle w:val="Seitenzahl"/>
      </w:rPr>
      <w:fldChar w:fldCharType="end"/>
    </w:r>
  </w:p>
  <w:p w:rsidR="009C6D65" w:rsidRDefault="009C6D65">
    <w:pPr>
      <w:pStyle w:val="Fuzeile"/>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6D65" w:rsidRDefault="009C6D65" w:rsidP="00033488">
      <w:r>
        <w:separator/>
      </w:r>
    </w:p>
  </w:footnote>
  <w:footnote w:type="continuationSeparator" w:id="0">
    <w:p w:rsidR="009C6D65" w:rsidRDefault="009C6D65" w:rsidP="00033488">
      <w:r>
        <w:continuationSeparator/>
      </w:r>
    </w:p>
  </w:footnote>
  <w:footnote w:id="1">
    <w:p w:rsidR="009C6D65" w:rsidRDefault="009C6D65" w:rsidP="009C6D65">
      <w:pPr>
        <w:pStyle w:val="Funotentext"/>
      </w:pPr>
      <w:r>
        <w:rPr>
          <w:rStyle w:val="Funotenzeichen"/>
        </w:rPr>
        <w:footnoteRef/>
      </w:r>
      <w:r>
        <w:t xml:space="preserve"> </w:t>
      </w:r>
      <w:r>
        <w:rPr>
          <w:rFonts w:eastAsia="MS Mincho"/>
        </w:rPr>
        <w:t xml:space="preserve">Anton Schmid, „Abraham Megerle“, in: </w:t>
      </w:r>
      <w:r>
        <w:rPr>
          <w:rFonts w:eastAsia="MS Mincho"/>
          <w:i/>
          <w:iCs/>
        </w:rPr>
        <w:t>Caecilia</w:t>
      </w:r>
      <w:r>
        <w:rPr>
          <w:rFonts w:eastAsia="MS Mincho"/>
        </w:rPr>
        <w:t xml:space="preserve"> 1847, S. 131.</w:t>
      </w:r>
    </w:p>
  </w:footnote>
  <w:footnote w:id="2">
    <w:p w:rsidR="009C6D65" w:rsidRDefault="009C6D65" w:rsidP="00033488">
      <w:pPr>
        <w:pStyle w:val="Funotentext"/>
      </w:pPr>
      <w:r>
        <w:rPr>
          <w:rStyle w:val="Funotenzeichen"/>
        </w:rPr>
        <w:footnoteRef/>
      </w:r>
      <w:r>
        <w:t xml:space="preserve"> </w:t>
      </w:r>
      <w:r>
        <w:rPr>
          <w:rFonts w:eastAsia="MS Mincho"/>
        </w:rPr>
        <w:t xml:space="preserve">Die Autorschaft der im Salzburger Konsistorialarchiv unter Megerles Namen erhaltenen A-cappella-Werke (Wb 9, 10, 13, 30) ist im </w:t>
      </w:r>
      <w:proofErr w:type="gramStart"/>
      <w:r>
        <w:rPr>
          <w:rFonts w:eastAsia="MS Mincho"/>
        </w:rPr>
        <w:t>einzelnen</w:t>
      </w:r>
      <w:proofErr w:type="gramEnd"/>
      <w:r>
        <w:rPr>
          <w:rFonts w:eastAsia="MS Mincho"/>
        </w:rPr>
        <w:t xml:space="preserve"> ungewiß. Die wenigen vollständigen oder eindeutig rekonstruierbaren Kompositionen Megerles habe ich in den </w:t>
      </w:r>
      <w:r>
        <w:rPr>
          <w:rFonts w:eastAsia="MS Mincho"/>
          <w:i/>
          <w:iCs/>
        </w:rPr>
        <w:t xml:space="preserve">Denkmälern der Musik in Salzburg </w:t>
      </w:r>
      <w:r>
        <w:rPr>
          <w:rFonts w:eastAsia="MS Mincho"/>
        </w:rPr>
        <w:t>(Einzelausgaben) 11, Bad Reichenhall 1993,</w:t>
      </w:r>
      <w:r>
        <w:rPr>
          <w:rFonts w:eastAsia="MS Mincho"/>
          <w:i/>
          <w:iCs/>
        </w:rPr>
        <w:t xml:space="preserve"> </w:t>
      </w:r>
      <w:r>
        <w:rPr>
          <w:rFonts w:eastAsia="MS Mincho"/>
        </w:rPr>
        <w:t>herausgegeben.</w:t>
      </w:r>
    </w:p>
  </w:footnote>
  <w:footnote w:id="3">
    <w:p w:rsidR="009C6D65" w:rsidRDefault="009C6D65" w:rsidP="00033488">
      <w:pPr>
        <w:pStyle w:val="NurText"/>
        <w:jc w:val="both"/>
        <w:rPr>
          <w:rFonts w:ascii="Times New Roman" w:hAnsi="Times New Roman" w:cs="Times New Roman"/>
        </w:rPr>
      </w:pPr>
      <w:r>
        <w:rPr>
          <w:rStyle w:val="Funotenzeichen"/>
          <w:rFonts w:ascii="Times New Roman" w:hAnsi="Times New Roman" w:cs="Times New Roman"/>
        </w:rPr>
        <w:footnoteRef/>
      </w:r>
      <w:r>
        <w:rPr>
          <w:rFonts w:ascii="Times New Roman" w:hAnsi="Times New Roman" w:cs="Times New Roman"/>
        </w:rPr>
        <w:t xml:space="preserve"> </w:t>
      </w:r>
      <w:r>
        <w:rPr>
          <w:rFonts w:ascii="Times New Roman" w:eastAsia="MS Mincho" w:hAnsi="Times New Roman" w:cs="Times New Roman"/>
        </w:rPr>
        <w:t xml:space="preserve">München, Nr. 8, VI,432-437. </w:t>
      </w:r>
    </w:p>
  </w:footnote>
  <w:footnote w:id="4">
    <w:p w:rsidR="009C6D65" w:rsidRDefault="009C6D65" w:rsidP="00033488">
      <w:pPr>
        <w:pStyle w:val="Funotentext"/>
      </w:pPr>
      <w:r>
        <w:rPr>
          <w:rStyle w:val="Funotenzeichen"/>
        </w:rPr>
        <w:footnoteRef/>
      </w:r>
      <w:r>
        <w:t xml:space="preserve"> Theodor G. von Karajan, </w:t>
      </w:r>
      <w:r>
        <w:rPr>
          <w:i/>
          <w:iCs/>
        </w:rPr>
        <w:t>Abraham a Sancta Clara</w:t>
      </w:r>
      <w:r>
        <w:t>, Wien 1867.</w:t>
      </w:r>
    </w:p>
  </w:footnote>
  <w:footnote w:id="5">
    <w:p w:rsidR="009C6D65" w:rsidRDefault="009C6D65" w:rsidP="00033488">
      <w:pPr>
        <w:pStyle w:val="Funotentext"/>
      </w:pPr>
      <w:r>
        <w:rPr>
          <w:rStyle w:val="Funotenzeichen"/>
        </w:rPr>
        <w:footnoteRef/>
      </w:r>
      <w:r>
        <w:t xml:space="preserve"> Karl Bertsche, </w:t>
      </w:r>
      <w:r>
        <w:rPr>
          <w:rFonts w:eastAsia="MS Mincho"/>
          <w:i/>
          <w:iCs/>
        </w:rPr>
        <w:t>Abraham a Sancta Clara</w:t>
      </w:r>
      <w:r>
        <w:rPr>
          <w:rFonts w:eastAsia="MS Mincho"/>
        </w:rPr>
        <w:t xml:space="preserve">, Mönchen-Gladbach 1918, S. 38ff.; ders. (Hg.), </w:t>
      </w:r>
      <w:r>
        <w:rPr>
          <w:rFonts w:eastAsia="MS Mincho"/>
          <w:i/>
          <w:iCs/>
        </w:rPr>
        <w:t>Die Totenkapelle von Abraham a Sancta Clara</w:t>
      </w:r>
      <w:r>
        <w:rPr>
          <w:rFonts w:eastAsia="MS Mincho"/>
        </w:rPr>
        <w:t xml:space="preserve">, S. </w:t>
      </w:r>
      <w:proofErr w:type="gramStart"/>
      <w:r>
        <w:rPr>
          <w:rFonts w:eastAsia="MS Mincho"/>
        </w:rPr>
        <w:t>14ff.;</w:t>
      </w:r>
      <w:proofErr w:type="gramEnd"/>
      <w:r>
        <w:rPr>
          <w:rFonts w:eastAsia="MS Mincho"/>
        </w:rPr>
        <w:t xml:space="preserve"> </w:t>
      </w:r>
      <w:r>
        <w:rPr>
          <w:rFonts w:eastAsia="MS Mincho"/>
          <w:i/>
          <w:iCs/>
        </w:rPr>
        <w:t xml:space="preserve">Werke von Abraham a Sancta Clara, </w:t>
      </w:r>
      <w:r>
        <w:rPr>
          <w:rFonts w:eastAsia="MS Mincho"/>
        </w:rPr>
        <w:t>aus dem handschriftlichen Nachlass hg. von der Akademie der Wissenschaften Wien, bearb. von Karl Bertsche, 3 Bde., Wien 1943-1945, insbesondere Bd. III</w:t>
      </w:r>
      <w:proofErr w:type="gramStart"/>
      <w:r>
        <w:rPr>
          <w:rFonts w:eastAsia="MS Mincho"/>
        </w:rPr>
        <w:t>,449</w:t>
      </w:r>
      <w:proofErr w:type="gramEnd"/>
      <w:r>
        <w:rPr>
          <w:rFonts w:eastAsia="MS Mincho"/>
        </w:rPr>
        <w:t xml:space="preserve">-473 die Erstlingsschrift A. a S. Claras, ein großes Lobgedicht auf seinen Oheim: </w:t>
      </w:r>
      <w:r>
        <w:rPr>
          <w:rFonts w:eastAsia="MS Mincho"/>
          <w:i/>
          <w:iCs/>
        </w:rPr>
        <w:t>Epitome elogiorum</w:t>
      </w:r>
      <w:r>
        <w:rPr>
          <w:rFonts w:eastAsia="MS Mincho"/>
        </w:rPr>
        <w:t xml:space="preserve"> (Wien 1670), mit dt. Übersetzung; s. außerdem Hanns Albert, </w:t>
      </w:r>
      <w:r>
        <w:rPr>
          <w:rFonts w:eastAsia="MS Mincho"/>
          <w:i/>
          <w:iCs/>
        </w:rPr>
        <w:t>Leben und Werke des Komponisten und Dirigenten Abraham Megerle, 1607-1680. Beitrag zur Geschichte der bayrisch-österreichischen Kirchenmusik</w:t>
      </w:r>
      <w:r>
        <w:rPr>
          <w:rFonts w:eastAsia="MS Mincho"/>
        </w:rPr>
        <w:t xml:space="preserve">, München 1927, S. 131ff. Megerle selbst erwähnt seinen Neffen desöfteren in Briefen und im </w:t>
      </w:r>
      <w:r>
        <w:rPr>
          <w:rFonts w:eastAsia="MS Mincho"/>
          <w:i/>
          <w:iCs/>
        </w:rPr>
        <w:t>Beylag zu meinem Testament</w:t>
      </w:r>
      <w:r>
        <w:rPr>
          <w:rFonts w:eastAsia="MS Mincho"/>
        </w:rPr>
        <w:t>,</w:t>
      </w:r>
      <w:r>
        <w:rPr>
          <w:rFonts w:eastAsia="MS Mincho"/>
          <w:i/>
          <w:iCs/>
        </w:rPr>
        <w:t xml:space="preserve"> </w:t>
      </w:r>
      <w:r>
        <w:rPr>
          <w:rFonts w:eastAsia="MS Mincho"/>
        </w:rPr>
        <w:t xml:space="preserve">erhalten im Kloster Zoffingen zu Konstanz, Faszikel Nr. 20, </w:t>
      </w:r>
      <w:r>
        <w:t xml:space="preserve">veröffentlicht und kommentiert von P. Tenhaef, „Abraham Megerles </w:t>
      </w:r>
      <w:r>
        <w:rPr>
          <w:i/>
          <w:iCs/>
        </w:rPr>
        <w:t>Beylag zu meinem Testament</w:t>
      </w:r>
      <w:r>
        <w:t xml:space="preserve"> sowie </w:t>
      </w:r>
      <w:r>
        <w:rPr>
          <w:i/>
          <w:iCs/>
        </w:rPr>
        <w:t>Obsignation und Inventarium</w:t>
      </w:r>
      <w:r>
        <w:t xml:space="preserve"> seines Erbes“,  </w:t>
      </w:r>
      <w:r>
        <w:rPr>
          <w:i/>
          <w:iCs/>
        </w:rPr>
        <w:t>Musik  in Bayern</w:t>
      </w:r>
      <w:r>
        <w:t xml:space="preserve"> 53 (1997), S. 9-75</w:t>
      </w:r>
      <w:r>
        <w:rPr>
          <w:rFonts w:eastAsia="MS Mincho"/>
        </w:rPr>
        <w:t>.</w:t>
      </w:r>
    </w:p>
  </w:footnote>
  <w:footnote w:id="6">
    <w:p w:rsidR="009C6D65" w:rsidRDefault="009C6D65" w:rsidP="00033488">
      <w:pPr>
        <w:pStyle w:val="Funotentext"/>
      </w:pPr>
      <w:r>
        <w:rPr>
          <w:rStyle w:val="Funotenzeichen"/>
        </w:rPr>
        <w:footnoteRef/>
      </w:r>
      <w:r>
        <w:t xml:space="preserve"> S. Anm. 4.</w:t>
      </w:r>
    </w:p>
  </w:footnote>
  <w:footnote w:id="7">
    <w:p w:rsidR="009C6D65" w:rsidRDefault="009C6D65" w:rsidP="00033488">
      <w:pPr>
        <w:pStyle w:val="Funotentext"/>
      </w:pPr>
      <w:r>
        <w:rPr>
          <w:rStyle w:val="Funotenzeichen"/>
        </w:rPr>
        <w:footnoteRef/>
      </w:r>
      <w:r>
        <w:t xml:space="preserve"> Zum Verhältnis von </w:t>
      </w:r>
      <w:r>
        <w:rPr>
          <w:i/>
          <w:iCs/>
        </w:rPr>
        <w:t>Speculum</w:t>
      </w:r>
      <w:r>
        <w:t xml:space="preserve"> und </w:t>
      </w:r>
      <w:r>
        <w:rPr>
          <w:i/>
          <w:iCs/>
        </w:rPr>
        <w:t>Beylag</w:t>
      </w:r>
      <w:r>
        <w:t xml:space="preserve"> s. P. Tenhaef, „Abraham Megerles </w:t>
      </w:r>
      <w:r>
        <w:rPr>
          <w:i/>
          <w:iCs/>
        </w:rPr>
        <w:t>Speculum musico-mortuale</w:t>
      </w:r>
      <w:r>
        <w:t xml:space="preserve"> und dessen totenliturgische Parallelen im </w:t>
      </w:r>
      <w:r>
        <w:rPr>
          <w:i/>
          <w:iCs/>
        </w:rPr>
        <w:t>Beylag zu meinem Testament</w:t>
      </w:r>
      <w:r>
        <w:t xml:space="preserve">“, </w:t>
      </w:r>
      <w:r>
        <w:rPr>
          <w:i/>
          <w:iCs/>
        </w:rPr>
        <w:t>Musik  in Bayern</w:t>
      </w:r>
      <w:r>
        <w:t xml:space="preserve"> 56 (1998), S. 15-40.</w:t>
      </w:r>
    </w:p>
  </w:footnote>
  <w:footnote w:id="8">
    <w:p w:rsidR="009C6D65" w:rsidRDefault="009C6D65" w:rsidP="00033488">
      <w:pPr>
        <w:pStyle w:val="Funotentext"/>
      </w:pPr>
      <w:r>
        <w:rPr>
          <w:rStyle w:val="Funotenzeichen"/>
        </w:rPr>
        <w:footnoteRef/>
      </w:r>
      <w:r>
        <w:t xml:space="preserve"> </w:t>
      </w:r>
      <w:r>
        <w:rPr>
          <w:rFonts w:eastAsia="MS Mincho"/>
        </w:rPr>
        <w:t>„Über Abraham Megerle, Kapellmeister und Komponist, zuletzt Stiftskanonikus in Altötting“, S. 72-91.</w:t>
      </w:r>
    </w:p>
  </w:footnote>
  <w:footnote w:id="9">
    <w:p w:rsidR="009C6D65" w:rsidRDefault="009C6D65" w:rsidP="00033488">
      <w:pPr>
        <w:pStyle w:val="Funotentext"/>
      </w:pPr>
      <w:r>
        <w:rPr>
          <w:rStyle w:val="Funotenzeichen"/>
        </w:rPr>
        <w:footnoteRef/>
      </w:r>
      <w:r>
        <w:t xml:space="preserve"> „</w:t>
      </w:r>
      <w:r>
        <w:rPr>
          <w:rFonts w:eastAsia="MS Mincho"/>
        </w:rPr>
        <w:t xml:space="preserve">Ein seltener alter Druck mit Instrumentenbildern“, in: </w:t>
      </w:r>
      <w:r>
        <w:rPr>
          <w:rFonts w:eastAsia="MS Mincho"/>
          <w:i/>
          <w:iCs/>
        </w:rPr>
        <w:t>Musikalisches Wochenblatt</w:t>
      </w:r>
      <w:r>
        <w:rPr>
          <w:rFonts w:eastAsia="MS Mincho"/>
        </w:rPr>
        <w:t xml:space="preserve"> 22 (1891), S. 577ff., 593f., 605f.</w:t>
      </w:r>
    </w:p>
  </w:footnote>
  <w:footnote w:id="10">
    <w:p w:rsidR="009C6D65" w:rsidRDefault="009C6D65" w:rsidP="00033488">
      <w:pPr>
        <w:pStyle w:val="Funotentext"/>
      </w:pPr>
      <w:r>
        <w:rPr>
          <w:rStyle w:val="Funotenzeichen"/>
        </w:rPr>
        <w:footnoteRef/>
      </w:r>
      <w:r>
        <w:t xml:space="preserve"> </w:t>
      </w:r>
      <w:r>
        <w:rPr>
          <w:rFonts w:eastAsia="MS Mincho"/>
        </w:rPr>
        <w:t>Erhalten im Archiv des Konstanzer Klosters Zoffingen, Konstanz, Faszikel Nr. 20.</w:t>
      </w:r>
    </w:p>
  </w:footnote>
  <w:footnote w:id="11">
    <w:p w:rsidR="009C6D65" w:rsidRDefault="009C6D65" w:rsidP="00033488">
      <w:pPr>
        <w:pStyle w:val="Funotentext"/>
      </w:pPr>
      <w:r>
        <w:rPr>
          <w:rStyle w:val="Funotenzeichen"/>
        </w:rPr>
        <w:footnoteRef/>
      </w:r>
      <w:r>
        <w:t xml:space="preserve"> </w:t>
      </w:r>
      <w:r>
        <w:rPr>
          <w:rFonts w:eastAsia="MS Mincho"/>
        </w:rPr>
        <w:t>S. S. 16-43.</w:t>
      </w:r>
    </w:p>
  </w:footnote>
  <w:footnote w:id="12">
    <w:p w:rsidR="009C6D65" w:rsidRDefault="009C6D65" w:rsidP="00033488">
      <w:pPr>
        <w:pStyle w:val="Funotentext"/>
      </w:pPr>
      <w:r>
        <w:rPr>
          <w:rStyle w:val="Funotenzeichen"/>
        </w:rPr>
        <w:footnoteRef/>
      </w:r>
      <w:r>
        <w:t xml:space="preserve"> </w:t>
      </w:r>
      <w:r>
        <w:rPr>
          <w:rFonts w:eastAsia="MS Mincho"/>
        </w:rPr>
        <w:t xml:space="preserve">S. Albert, „Megerle“, Art. in </w:t>
      </w:r>
      <w:r>
        <w:rPr>
          <w:rFonts w:eastAsia="MS Mincho"/>
          <w:i/>
          <w:iCs/>
        </w:rPr>
        <w:t>MGG</w:t>
      </w:r>
      <w:r>
        <w:rPr>
          <w:rFonts w:eastAsia="MS Mincho"/>
        </w:rPr>
        <w:t xml:space="preserve"> VIII,1897f., auch Suppl.-Art. XVI,1236; Walter Pass, „Das Musikalieninventar der Pfarrkirche St. Nikolaus in Feldkirch aus dem Jahre 1699“, </w:t>
      </w:r>
      <w:r>
        <w:rPr>
          <w:rFonts w:eastAsia="MS Mincho"/>
          <w:i/>
          <w:iCs/>
        </w:rPr>
        <w:t xml:space="preserve">Montfort </w:t>
      </w:r>
      <w:r>
        <w:rPr>
          <w:rFonts w:eastAsia="MS Mincho"/>
        </w:rPr>
        <w:t xml:space="preserve">20 (1968), S. 408 und 431; Walter Senn, </w:t>
      </w:r>
      <w:r>
        <w:rPr>
          <w:rFonts w:eastAsia="MS Mincho"/>
          <w:i/>
          <w:iCs/>
        </w:rPr>
        <w:t>Musik und Theater am Hof zu Innsbruck</w:t>
      </w:r>
      <w:r>
        <w:rPr>
          <w:rFonts w:eastAsia="MS Mincho"/>
        </w:rPr>
        <w:t>, Innsbruck 1954 (s. Register).</w:t>
      </w:r>
    </w:p>
  </w:footnote>
  <w:footnote w:id="13">
    <w:p w:rsidR="009C6D65" w:rsidRDefault="009C6D65" w:rsidP="00033488">
      <w:pPr>
        <w:pStyle w:val="Funotentext"/>
      </w:pPr>
      <w:r>
        <w:rPr>
          <w:rStyle w:val="Funotenzeichen"/>
        </w:rPr>
        <w:footnoteRef/>
      </w:r>
      <w:r>
        <w:t xml:space="preserve"> </w:t>
      </w:r>
      <w:r>
        <w:rPr>
          <w:rFonts w:eastAsia="MS Mincho"/>
        </w:rPr>
        <w:t>S. dazu Senn (wie Anm. 11), S. 200f. und 220.</w:t>
      </w:r>
    </w:p>
  </w:footnote>
  <w:footnote w:id="14">
    <w:p w:rsidR="009C6D65" w:rsidRDefault="009C6D65" w:rsidP="00033488">
      <w:pPr>
        <w:pStyle w:val="Funotentext"/>
      </w:pPr>
      <w:r>
        <w:rPr>
          <w:rStyle w:val="Funotenzeichen"/>
        </w:rPr>
        <w:footnoteRef/>
      </w:r>
      <w:r>
        <w:t xml:space="preserve"> </w:t>
      </w:r>
      <w:r>
        <w:rPr>
          <w:rFonts w:eastAsia="MS Mincho"/>
        </w:rPr>
        <w:t>„Ausgemusterte“ Kapellknaben bekamen in Innsbruck üblicherweise ein entsprechendes Stipendium, s. ebd., S. 94f.</w:t>
      </w:r>
    </w:p>
  </w:footnote>
  <w:footnote w:id="15">
    <w:p w:rsidR="009C6D65" w:rsidRDefault="009C6D65" w:rsidP="00033488">
      <w:pPr>
        <w:pStyle w:val="Funotentext"/>
      </w:pPr>
      <w:r>
        <w:rPr>
          <w:rStyle w:val="Funotenzeichen"/>
        </w:rPr>
        <w:footnoteRef/>
      </w:r>
      <w:r>
        <w:t xml:space="preserve"> </w:t>
      </w:r>
      <w:r>
        <w:rPr>
          <w:rFonts w:eastAsia="MS Mincho"/>
        </w:rPr>
        <w:t xml:space="preserve"> S. ebd., S. 201 und 220.</w:t>
      </w:r>
    </w:p>
  </w:footnote>
  <w:footnote w:id="16">
    <w:p w:rsidR="009C6D65" w:rsidRDefault="009C6D65" w:rsidP="00033488">
      <w:pPr>
        <w:pStyle w:val="Funotentext"/>
      </w:pPr>
      <w:r>
        <w:rPr>
          <w:rStyle w:val="Funotenzeichen"/>
        </w:rPr>
        <w:footnoteRef/>
      </w:r>
      <w:r>
        <w:t xml:space="preserve"> </w:t>
      </w:r>
      <w:r>
        <w:rPr>
          <w:rFonts w:eastAsia="MS Mincho"/>
        </w:rPr>
        <w:t>S. 2; auch auf einem im Konstanzer Kloster Zoffingen erhaltenen Kupferstichporträt wird er als „Musurgus aevi nostri celeberrimus“ bezeichnet.</w:t>
      </w:r>
    </w:p>
  </w:footnote>
  <w:footnote w:id="17">
    <w:p w:rsidR="009C6D65" w:rsidRDefault="009C6D65" w:rsidP="00033488">
      <w:pPr>
        <w:pStyle w:val="Funotentext"/>
      </w:pPr>
      <w:r>
        <w:rPr>
          <w:rStyle w:val="Funotenzeichen"/>
        </w:rPr>
        <w:footnoteRef/>
      </w:r>
      <w:r>
        <w:t xml:space="preserve"> </w:t>
      </w:r>
      <w:r>
        <w:rPr>
          <w:rFonts w:eastAsia="MS Mincho"/>
        </w:rPr>
        <w:t xml:space="preserve">Nach dem in der vorigen Anm. genannten Kupferstich „ob eximiam artis peritiam“. Beredtes Zeugnis von Megerles Ruhm gibt vor allem Abrahams a Sancta Clara </w:t>
      </w:r>
      <w:r>
        <w:rPr>
          <w:rFonts w:eastAsia="MS Mincho"/>
          <w:i/>
          <w:iCs/>
        </w:rPr>
        <w:t>Epitome elogiorum</w:t>
      </w:r>
      <w:r>
        <w:rPr>
          <w:rFonts w:eastAsia="MS Mincho"/>
        </w:rPr>
        <w:t xml:space="preserve"> (wie Anm. 4), s. vor allem S. 458ff. Auch in Johann Gottfried Walthers </w:t>
      </w:r>
      <w:r>
        <w:rPr>
          <w:rFonts w:eastAsia="MS Mincho"/>
          <w:i/>
          <w:iCs/>
        </w:rPr>
        <w:t>Musikalischem Lexikon</w:t>
      </w:r>
      <w:r>
        <w:rPr>
          <w:rFonts w:eastAsia="MS Mincho"/>
        </w:rPr>
        <w:t>,</w:t>
      </w:r>
      <w:r>
        <w:rPr>
          <w:rFonts w:eastAsia="MS Mincho"/>
          <w:i/>
          <w:iCs/>
        </w:rPr>
        <w:t xml:space="preserve"> </w:t>
      </w:r>
      <w:r>
        <w:rPr>
          <w:rFonts w:eastAsia="MS Mincho"/>
        </w:rPr>
        <w:t>Leipzig 1732, S. 394 ist Megerle noch nicht vergessen.</w:t>
      </w:r>
    </w:p>
  </w:footnote>
  <w:footnote w:id="18">
    <w:p w:rsidR="009C6D65" w:rsidRDefault="009C6D65" w:rsidP="00033488">
      <w:pPr>
        <w:pStyle w:val="Funotentext"/>
      </w:pPr>
      <w:r>
        <w:rPr>
          <w:rStyle w:val="Funotenzeichen"/>
        </w:rPr>
        <w:footnoteRef/>
      </w:r>
      <w:r>
        <w:t xml:space="preserve"> </w:t>
      </w:r>
      <w:r>
        <w:rPr>
          <w:rFonts w:eastAsia="MS Mincho"/>
        </w:rPr>
        <w:t>Außer den sieben wirklichen Protonotaren, die an der römischen Kurie Dienst tun, gibt es drei Klassen von Protonotaren dem Titel nach. Im Falle Megerles kommt wohl nur die dritte Klasse in Betracht: titulares seu honorarii.</w:t>
      </w:r>
    </w:p>
  </w:footnote>
  <w:footnote w:id="19">
    <w:p w:rsidR="009C6D65" w:rsidRDefault="009C6D65" w:rsidP="00033488">
      <w:pPr>
        <w:pStyle w:val="Funotentext"/>
      </w:pPr>
      <w:r>
        <w:rPr>
          <w:rStyle w:val="Funotenzeichen"/>
        </w:rPr>
        <w:footnoteRef/>
      </w:r>
      <w:r>
        <w:t xml:space="preserve"> </w:t>
      </w:r>
      <w:r>
        <w:rPr>
          <w:rFonts w:eastAsia="MS Mincho"/>
        </w:rPr>
        <w:t>Ann Arbor, Michigan 1987, S. 58.</w:t>
      </w:r>
    </w:p>
  </w:footnote>
  <w:footnote w:id="20">
    <w:p w:rsidR="009C6D65" w:rsidRDefault="009C6D65" w:rsidP="00033488">
      <w:pPr>
        <w:pStyle w:val="Funotentext"/>
      </w:pPr>
      <w:r>
        <w:rPr>
          <w:rStyle w:val="Funotenzeichen"/>
        </w:rPr>
        <w:footnoteRef/>
      </w:r>
      <w:r>
        <w:t xml:space="preserve"> </w:t>
      </w:r>
      <w:r>
        <w:rPr>
          <w:rFonts w:eastAsia="MS Mincho"/>
        </w:rPr>
        <w:t xml:space="preserve">S. </w:t>
      </w:r>
      <w:r>
        <w:rPr>
          <w:rFonts w:eastAsia="MS Mincho"/>
          <w:i/>
          <w:iCs/>
        </w:rPr>
        <w:t>Speculum</w:t>
      </w:r>
      <w:r>
        <w:rPr>
          <w:rFonts w:eastAsia="MS Mincho"/>
        </w:rPr>
        <w:t>, S. (1), 2f., 10, (50).</w:t>
      </w:r>
    </w:p>
  </w:footnote>
  <w:footnote w:id="21">
    <w:p w:rsidR="009C6D65" w:rsidRDefault="009C6D65" w:rsidP="00033488">
      <w:pPr>
        <w:pStyle w:val="Funotentext"/>
      </w:pPr>
      <w:r>
        <w:rPr>
          <w:rStyle w:val="Funotenzeichen"/>
        </w:rPr>
        <w:footnoteRef/>
      </w:r>
      <w:r>
        <w:t xml:space="preserve"> </w:t>
      </w:r>
      <w:r>
        <w:rPr>
          <w:rFonts w:eastAsia="MS Mincho"/>
        </w:rPr>
        <w:t>S. dazu Albert, S. 35ff. und 124f.</w:t>
      </w:r>
    </w:p>
  </w:footnote>
  <w:footnote w:id="22">
    <w:p w:rsidR="009C6D65" w:rsidRDefault="009C6D65" w:rsidP="00033488">
      <w:pPr>
        <w:pStyle w:val="Funotentext"/>
      </w:pPr>
      <w:r>
        <w:rPr>
          <w:rStyle w:val="Funotenzeichen"/>
        </w:rPr>
        <w:footnoteRef/>
      </w:r>
      <w:r>
        <w:t xml:space="preserve"> </w:t>
      </w:r>
      <w:r>
        <w:rPr>
          <w:rFonts w:eastAsia="MS Mincho"/>
          <w:i/>
          <w:iCs/>
        </w:rPr>
        <w:t>Speculum</w:t>
      </w:r>
      <w:r>
        <w:rPr>
          <w:rFonts w:eastAsia="MS Mincho"/>
        </w:rPr>
        <w:t>, S. 22.</w:t>
      </w:r>
    </w:p>
  </w:footnote>
  <w:footnote w:id="23">
    <w:p w:rsidR="009C6D65" w:rsidRDefault="009C6D65" w:rsidP="00033488">
      <w:pPr>
        <w:pStyle w:val="Funotentext"/>
      </w:pPr>
      <w:r>
        <w:rPr>
          <w:rStyle w:val="Funotenzeichen"/>
        </w:rPr>
        <w:footnoteRef/>
      </w:r>
      <w:r>
        <w:t xml:space="preserve"> </w:t>
      </w:r>
      <w:r>
        <w:rPr>
          <w:rFonts w:eastAsia="MS Mincho"/>
        </w:rPr>
        <w:t xml:space="preserve">Vgl. das Verzeichnis der musikalischen Werke X. sowie im Vorwort der </w:t>
      </w:r>
      <w:r>
        <w:rPr>
          <w:rFonts w:eastAsia="MS Mincho"/>
          <w:i/>
          <w:iCs/>
        </w:rPr>
        <w:t xml:space="preserve">Geistlichen Werke </w:t>
      </w:r>
      <w:r>
        <w:rPr>
          <w:rFonts w:eastAsia="MS Mincho"/>
        </w:rPr>
        <w:t>(wie Anm. 1), S. VIIff.</w:t>
      </w:r>
    </w:p>
  </w:footnote>
  <w:footnote w:id="24">
    <w:p w:rsidR="009C6D65" w:rsidRDefault="009C6D65" w:rsidP="00033488">
      <w:pPr>
        <w:pStyle w:val="Funotentext"/>
      </w:pPr>
      <w:r>
        <w:rPr>
          <w:rStyle w:val="Funotenzeichen"/>
        </w:rPr>
        <w:footnoteRef/>
      </w:r>
      <w:r>
        <w:t xml:space="preserve"> Wie Anm. 7,</w:t>
      </w:r>
      <w:r>
        <w:rPr>
          <w:rFonts w:eastAsia="MS Mincho"/>
        </w:rPr>
        <w:t xml:space="preserve"> S. 79-83,  nach einer Abschrift (ohne Angabe des Fundortes) von P. Sigismund Keller O.S.B.</w:t>
      </w:r>
    </w:p>
  </w:footnote>
  <w:footnote w:id="25">
    <w:p w:rsidR="009C6D65" w:rsidRDefault="009C6D65" w:rsidP="00033488">
      <w:pPr>
        <w:pStyle w:val="Funotentext"/>
      </w:pPr>
      <w:r>
        <w:rPr>
          <w:rStyle w:val="Funotenzeichen"/>
        </w:rPr>
        <w:footnoteRef/>
      </w:r>
      <w:r>
        <w:t xml:space="preserve"> </w:t>
      </w:r>
      <w:r>
        <w:rPr>
          <w:rFonts w:eastAsia="MS Mincho"/>
        </w:rPr>
        <w:t xml:space="preserve">S. </w:t>
      </w:r>
      <w:r>
        <w:rPr>
          <w:rFonts w:eastAsia="MS Mincho"/>
          <w:i/>
          <w:iCs/>
        </w:rPr>
        <w:t>Grimms Deutsches Wörterbuch</w:t>
      </w:r>
      <w:r>
        <w:rPr>
          <w:rFonts w:eastAsia="MS Mincho"/>
        </w:rPr>
        <w:t>, Leipzig 1854ff., X,1, Sp. 2236f.</w:t>
      </w:r>
    </w:p>
  </w:footnote>
  <w:footnote w:id="26">
    <w:p w:rsidR="009C6D65" w:rsidRDefault="009C6D65" w:rsidP="00033488">
      <w:pPr>
        <w:pStyle w:val="Funotentext"/>
      </w:pPr>
      <w:r>
        <w:rPr>
          <w:rStyle w:val="Funotenzeichen"/>
        </w:rPr>
        <w:footnoteRef/>
      </w:r>
      <w:r>
        <w:rPr>
          <w:lang w:val="en-GB"/>
        </w:rPr>
        <w:t xml:space="preserve"> </w:t>
      </w:r>
      <w:r>
        <w:rPr>
          <w:rFonts w:eastAsia="MS Mincho"/>
          <w:lang w:val="en-GB"/>
        </w:rPr>
        <w:t xml:space="preserve">S. P. Rainer Rudolf, </w:t>
      </w:r>
      <w:r>
        <w:rPr>
          <w:rFonts w:eastAsia="MS Mincho"/>
          <w:i/>
          <w:iCs/>
          <w:lang w:val="en-GB"/>
        </w:rPr>
        <w:t xml:space="preserve">Ars moriendi. </w:t>
      </w:r>
      <w:r>
        <w:rPr>
          <w:rFonts w:eastAsia="MS Mincho"/>
          <w:i/>
          <w:iCs/>
        </w:rPr>
        <w:t>Von der Kunst des heilsamen Lebens und Sterbens</w:t>
      </w:r>
      <w:r>
        <w:rPr>
          <w:rFonts w:eastAsia="MS Mincho"/>
        </w:rPr>
        <w:t xml:space="preserve">, Köln/Graz 1957, S. 77ff. sowie von dems. hg., Thomas Peuntners „Kunst des heilsamen Sterbens“, Berlin/Bielefeld/München 1954, S. 76ff. In der Nachfolge Dinkelsbühls stehen unter anderem der anonyme </w:t>
      </w:r>
      <w:r>
        <w:rPr>
          <w:rFonts w:eastAsia="MS Mincho"/>
          <w:i/>
          <w:iCs/>
        </w:rPr>
        <w:t>Spiegel des kranken und sterbenden Menschen</w:t>
      </w:r>
      <w:r>
        <w:rPr>
          <w:rFonts w:eastAsia="MS Mincho"/>
        </w:rPr>
        <w:t xml:space="preserve"> und der </w:t>
      </w:r>
      <w:r>
        <w:rPr>
          <w:rFonts w:eastAsia="MS Mincho"/>
          <w:i/>
          <w:iCs/>
        </w:rPr>
        <w:t xml:space="preserve">Tractatus de morte nec non de praeparatione ad mortem sive Speculum mortis </w:t>
      </w:r>
      <w:r>
        <w:rPr>
          <w:rFonts w:eastAsia="MS Mincho"/>
        </w:rPr>
        <w:t>(s. ebd., S. 78f.).</w:t>
      </w:r>
    </w:p>
  </w:footnote>
  <w:footnote w:id="27">
    <w:p w:rsidR="009C6D65" w:rsidRDefault="009C6D65" w:rsidP="00033488">
      <w:pPr>
        <w:pStyle w:val="Funotentext"/>
        <w:rPr>
          <w:lang w:val="en-GB"/>
        </w:rPr>
      </w:pPr>
      <w:r>
        <w:rPr>
          <w:rStyle w:val="Funotenzeichen"/>
        </w:rPr>
        <w:footnoteRef/>
      </w:r>
      <w:r>
        <w:rPr>
          <w:lang w:val="en-GB"/>
        </w:rPr>
        <w:t xml:space="preserve"> Jacobus von Lüttich, </w:t>
      </w:r>
      <w:r>
        <w:rPr>
          <w:i/>
          <w:iCs/>
          <w:lang w:val="en-GB"/>
        </w:rPr>
        <w:t>Speculum musicae</w:t>
      </w:r>
      <w:proofErr w:type="gramStart"/>
      <w:r>
        <w:rPr>
          <w:lang w:val="en-GB"/>
        </w:rPr>
        <w:t>, ???</w:t>
      </w:r>
      <w:proofErr w:type="gramEnd"/>
      <w:r>
        <w:rPr>
          <w:rFonts w:eastAsia="MS Mincho"/>
          <w:lang w:val="en-GB"/>
        </w:rPr>
        <w:t>I</w:t>
      </w:r>
      <w:proofErr w:type="gramStart"/>
      <w:r>
        <w:rPr>
          <w:rFonts w:eastAsia="MS Mincho"/>
          <w:lang w:val="en-GB"/>
        </w:rPr>
        <w:t>,10</w:t>
      </w:r>
      <w:proofErr w:type="gramEnd"/>
      <w:r>
        <w:rPr>
          <w:rFonts w:eastAsia="MS Mincho"/>
          <w:lang w:val="en-GB"/>
        </w:rPr>
        <w:t>.</w:t>
      </w:r>
    </w:p>
  </w:footnote>
  <w:footnote w:id="28">
    <w:p w:rsidR="009C6D65" w:rsidRDefault="009C6D65" w:rsidP="00033488">
      <w:pPr>
        <w:pStyle w:val="Funotentext"/>
        <w:rPr>
          <w:lang w:val="it-IT"/>
        </w:rPr>
      </w:pPr>
      <w:r>
        <w:rPr>
          <w:rStyle w:val="Funotenzeichen"/>
        </w:rPr>
        <w:footnoteRef/>
      </w:r>
      <w:r>
        <w:rPr>
          <w:lang w:val="it-IT"/>
        </w:rPr>
        <w:t xml:space="preserve"> </w:t>
      </w:r>
      <w:proofErr w:type="gramStart"/>
      <w:r>
        <w:rPr>
          <w:lang w:val="it-IT"/>
        </w:rPr>
        <w:t>Ebd.</w:t>
      </w:r>
      <w:proofErr w:type="gramEnd"/>
      <w:r>
        <w:rPr>
          <w:lang w:val="it-IT"/>
        </w:rPr>
        <w:t xml:space="preserve">, </w:t>
      </w:r>
      <w:r>
        <w:rPr>
          <w:rFonts w:eastAsia="MS Mincho"/>
          <w:lang w:val="it-IT"/>
        </w:rPr>
        <w:t>I,12.</w:t>
      </w:r>
    </w:p>
  </w:footnote>
  <w:footnote w:id="29">
    <w:p w:rsidR="009C6D65" w:rsidRDefault="009C6D65" w:rsidP="00033488">
      <w:pPr>
        <w:pStyle w:val="Funotentext"/>
        <w:rPr>
          <w:lang w:val="it-IT"/>
        </w:rPr>
      </w:pPr>
      <w:r>
        <w:rPr>
          <w:rStyle w:val="Funotenzeichen"/>
        </w:rPr>
        <w:footnoteRef/>
      </w:r>
      <w:r>
        <w:rPr>
          <w:lang w:val="it-IT"/>
        </w:rPr>
        <w:t xml:space="preserve"> </w:t>
      </w:r>
      <w:r>
        <w:rPr>
          <w:rFonts w:eastAsia="MS Mincho"/>
          <w:lang w:val="it-IT"/>
        </w:rPr>
        <w:t>Ebd.</w:t>
      </w:r>
    </w:p>
  </w:footnote>
  <w:footnote w:id="30">
    <w:p w:rsidR="009C6D65" w:rsidRDefault="009C6D65" w:rsidP="00033488">
      <w:pPr>
        <w:pStyle w:val="Funotentext"/>
        <w:rPr>
          <w:lang w:val="fr-FR"/>
        </w:rPr>
      </w:pPr>
      <w:r>
        <w:rPr>
          <w:rStyle w:val="Funotenzeichen"/>
        </w:rPr>
        <w:footnoteRef/>
      </w:r>
      <w:r>
        <w:t xml:space="preserve"> </w:t>
      </w:r>
      <w:r>
        <w:rPr>
          <w:rFonts w:eastAsia="MS Mincho"/>
        </w:rPr>
        <w:t xml:space="preserve">Noch J.J. Rousseau las das Traktat „fast ganz durch“; s. den Art. </w:t>
      </w:r>
      <w:r>
        <w:rPr>
          <w:rFonts w:eastAsia="MS Mincho"/>
          <w:lang w:val="fr-FR"/>
        </w:rPr>
        <w:t>„</w:t>
      </w:r>
      <w:proofErr w:type="gramStart"/>
      <w:r>
        <w:rPr>
          <w:rFonts w:eastAsia="MS Mincho"/>
          <w:lang w:val="fr-FR"/>
        </w:rPr>
        <w:t>musique</w:t>
      </w:r>
      <w:proofErr w:type="gramEnd"/>
      <w:r>
        <w:rPr>
          <w:rFonts w:eastAsia="MS Mincho"/>
          <w:lang w:val="fr-FR"/>
        </w:rPr>
        <w:t xml:space="preserve">“ im </w:t>
      </w:r>
      <w:r>
        <w:rPr>
          <w:rFonts w:eastAsia="MS Mincho"/>
          <w:i/>
          <w:iCs/>
          <w:lang w:val="fr-FR"/>
        </w:rPr>
        <w:t>Dictionaire de musique</w:t>
      </w:r>
      <w:r>
        <w:rPr>
          <w:rFonts w:eastAsia="MS Mincho"/>
          <w:lang w:val="fr-FR"/>
        </w:rPr>
        <w:t>, Genf 1767.</w:t>
      </w:r>
    </w:p>
  </w:footnote>
  <w:footnote w:id="31">
    <w:p w:rsidR="009C6D65" w:rsidRDefault="009C6D65" w:rsidP="00033488">
      <w:pPr>
        <w:pStyle w:val="Funotentext"/>
      </w:pPr>
      <w:r>
        <w:rPr>
          <w:rStyle w:val="Funotenzeichen"/>
        </w:rPr>
        <w:footnoteRef/>
      </w:r>
      <w:r>
        <w:t xml:space="preserve"> Rom 1650. </w:t>
      </w:r>
      <w:r>
        <w:rPr>
          <w:rFonts w:eastAsia="MS Mincho"/>
        </w:rPr>
        <w:t>Besonders dessen letztes Buch, der Liber analogicus handelt ausführlich „Von der harmonischen Metaphysic“, „Von der unsinnbaren Englischen Music“ und „Von der Harmony selbsten der Hochheiligen Drei-Einigkeit“, Teilübersetzung von Andreas Hirsch, Schwäbisch Hall 1662 S. 343ff., 354ff., 363ff., entspricht Kircher II,440ff., 446ff., 456ff.</w:t>
      </w:r>
    </w:p>
  </w:footnote>
  <w:footnote w:id="32">
    <w:p w:rsidR="009C6D65" w:rsidRDefault="009C6D65" w:rsidP="00033488">
      <w:pPr>
        <w:pStyle w:val="Funotentext"/>
      </w:pPr>
      <w:r>
        <w:rPr>
          <w:rStyle w:val="Funotenzeichen"/>
        </w:rPr>
        <w:footnoteRef/>
      </w:r>
      <w:r>
        <w:t xml:space="preserve"> </w:t>
      </w:r>
      <w:r>
        <w:rPr>
          <w:rFonts w:eastAsia="MS Mincho"/>
        </w:rPr>
        <w:t xml:space="preserve">Hirsch </w:t>
      </w:r>
      <w:proofErr w:type="gramStart"/>
      <w:r>
        <w:rPr>
          <w:rFonts w:eastAsia="MS Mincho"/>
        </w:rPr>
        <w:t>352f.,</w:t>
      </w:r>
      <w:proofErr w:type="gramEnd"/>
      <w:r>
        <w:rPr>
          <w:rFonts w:eastAsia="MS Mincho"/>
        </w:rPr>
        <w:t xml:space="preserve"> entspricht in etwa Kircher II,445f.</w:t>
      </w:r>
    </w:p>
  </w:footnote>
  <w:footnote w:id="33">
    <w:p w:rsidR="009C6D65" w:rsidRDefault="009C6D65" w:rsidP="00033488">
      <w:pPr>
        <w:pStyle w:val="Funotentext"/>
      </w:pPr>
      <w:r>
        <w:rPr>
          <w:rStyle w:val="Funotenzeichen"/>
        </w:rPr>
        <w:footnoteRef/>
      </w:r>
      <w:r>
        <w:t xml:space="preserve"> </w:t>
      </w:r>
      <w:r>
        <w:rPr>
          <w:rFonts w:eastAsia="MS Mincho"/>
        </w:rPr>
        <w:t xml:space="preserve">Im </w:t>
      </w:r>
      <w:r>
        <w:rPr>
          <w:rFonts w:eastAsia="MS Mincho"/>
          <w:i/>
          <w:iCs/>
        </w:rPr>
        <w:t>Speculum</w:t>
      </w:r>
      <w:r>
        <w:rPr>
          <w:rFonts w:eastAsia="MS Mincho"/>
        </w:rPr>
        <w:t xml:space="preserve"> S. 22 bekundet Megerle seine Vorliebe für „Aenigmata Musica“ und andere musikalische Geheimnisse; s. dazu P. Tenhaef: „Abraham Megerles Kanonkünste und andere Arcana musica“, </w:t>
      </w:r>
      <w:r>
        <w:rPr>
          <w:rFonts w:eastAsia="MS Mincho"/>
          <w:i/>
          <w:iCs/>
        </w:rPr>
        <w:t>Musicologica Austiaca</w:t>
      </w:r>
      <w:r>
        <w:rPr>
          <w:rFonts w:eastAsia="MS Mincho"/>
        </w:rPr>
        <w:t xml:space="preserve"> 9 (1989), S. 15-44.</w:t>
      </w:r>
    </w:p>
  </w:footnote>
  <w:footnote w:id="34">
    <w:p w:rsidR="009C6D65" w:rsidRDefault="009C6D65" w:rsidP="00033488">
      <w:pPr>
        <w:pStyle w:val="Funotentext"/>
      </w:pPr>
      <w:r>
        <w:rPr>
          <w:rStyle w:val="Funotenzeichen"/>
        </w:rPr>
        <w:footnoteRef/>
      </w:r>
      <w:r>
        <w:t xml:space="preserve"> </w:t>
      </w:r>
      <w:r>
        <w:rPr>
          <w:rFonts w:eastAsia="MS Mincho"/>
          <w:i/>
          <w:iCs/>
        </w:rPr>
        <w:t>Speculum</w:t>
      </w:r>
      <w:r>
        <w:rPr>
          <w:rFonts w:eastAsia="MS Mincho"/>
        </w:rPr>
        <w:t>, S. 19.</w:t>
      </w:r>
    </w:p>
  </w:footnote>
  <w:footnote w:id="35">
    <w:p w:rsidR="009C6D65" w:rsidRDefault="009C6D65" w:rsidP="00033488">
      <w:pPr>
        <w:pStyle w:val="Funotentext"/>
      </w:pPr>
      <w:r>
        <w:rPr>
          <w:rStyle w:val="Funotenzeichen"/>
        </w:rPr>
        <w:footnoteRef/>
      </w:r>
      <w:r>
        <w:t xml:space="preserve"> </w:t>
      </w:r>
      <w:r>
        <w:rPr>
          <w:rFonts w:eastAsia="MS Mincho"/>
        </w:rPr>
        <w:t xml:space="preserve">Vgl. </w:t>
      </w:r>
      <w:r>
        <w:rPr>
          <w:rFonts w:eastAsia="MS Mincho"/>
          <w:i/>
          <w:iCs/>
        </w:rPr>
        <w:t>Grimms Deutsches Wörterbuch</w:t>
      </w:r>
      <w:r>
        <w:rPr>
          <w:rFonts w:eastAsia="MS Mincho"/>
        </w:rPr>
        <w:t xml:space="preserve"> (X,1, Sp. 2231f.) mit Zitaten von Thomas von Aquin, Heinrich Seuse u.a.</w:t>
      </w:r>
    </w:p>
  </w:footnote>
  <w:footnote w:id="36">
    <w:p w:rsidR="009C6D65" w:rsidRDefault="009C6D65" w:rsidP="00033488">
      <w:pPr>
        <w:pStyle w:val="Funotentext"/>
      </w:pPr>
      <w:r>
        <w:rPr>
          <w:rStyle w:val="Funotenzeichen"/>
        </w:rPr>
        <w:footnoteRef/>
      </w:r>
      <w:r>
        <w:t xml:space="preserve"> </w:t>
      </w:r>
      <w:r>
        <w:rPr>
          <w:i/>
          <w:iCs/>
        </w:rPr>
        <w:t>Speculum</w:t>
      </w:r>
      <w:r>
        <w:t>, S. 12.</w:t>
      </w:r>
    </w:p>
  </w:footnote>
  <w:footnote w:id="37">
    <w:p w:rsidR="009C6D65" w:rsidRDefault="009C6D65" w:rsidP="00033488">
      <w:pPr>
        <w:pStyle w:val="Funotentext"/>
      </w:pPr>
      <w:r>
        <w:rPr>
          <w:rStyle w:val="Funotenzeichen"/>
        </w:rPr>
        <w:footnoteRef/>
      </w:r>
      <w:r>
        <w:t xml:space="preserve"> </w:t>
      </w:r>
      <w:r>
        <w:rPr>
          <w:rFonts w:eastAsia="MS Mincho"/>
        </w:rPr>
        <w:t xml:space="preserve">S. dazu Rudolf, </w:t>
      </w:r>
      <w:r>
        <w:rPr>
          <w:rFonts w:eastAsia="MS Mincho"/>
          <w:i/>
          <w:iCs/>
        </w:rPr>
        <w:t>Ars moriendi</w:t>
      </w:r>
      <w:r>
        <w:rPr>
          <w:rFonts w:eastAsia="MS Mincho"/>
        </w:rPr>
        <w:t xml:space="preserve">, </w:t>
      </w:r>
      <w:proofErr w:type="gramStart"/>
      <w:r>
        <w:rPr>
          <w:rFonts w:eastAsia="MS Mincho"/>
        </w:rPr>
        <w:t>S.25ff.;</w:t>
      </w:r>
      <w:proofErr w:type="gramEnd"/>
      <w:r>
        <w:rPr>
          <w:rFonts w:eastAsia="MS Mincho"/>
        </w:rPr>
        <w:t xml:space="preserve"> außerdem Wolfgang Stammler, </w:t>
      </w:r>
      <w:r>
        <w:rPr>
          <w:rFonts w:eastAsia="MS Mincho"/>
          <w:i/>
          <w:iCs/>
        </w:rPr>
        <w:t>Der Totentanz. Entstehung und Deutung</w:t>
      </w:r>
      <w:r>
        <w:rPr>
          <w:rFonts w:eastAsia="MS Mincho"/>
        </w:rPr>
        <w:t>, München 1948, S. 18 und 72 (mit weiteren Literaturangaben).</w:t>
      </w:r>
    </w:p>
  </w:footnote>
  <w:footnote w:id="38">
    <w:p w:rsidR="009C6D65" w:rsidRDefault="009C6D65" w:rsidP="00033488">
      <w:pPr>
        <w:pStyle w:val="Funotentext"/>
      </w:pPr>
      <w:r>
        <w:rPr>
          <w:rStyle w:val="Funotenzeichen"/>
        </w:rPr>
        <w:footnoteRef/>
      </w:r>
      <w:r>
        <w:t xml:space="preserve"> </w:t>
      </w:r>
      <w:r>
        <w:rPr>
          <w:rFonts w:eastAsia="MS Mincho"/>
        </w:rPr>
        <w:t>S. 34f.</w:t>
      </w:r>
    </w:p>
  </w:footnote>
  <w:footnote w:id="39">
    <w:p w:rsidR="009C6D65" w:rsidRDefault="009C6D65" w:rsidP="00033488">
      <w:pPr>
        <w:pStyle w:val="Funotentext"/>
      </w:pPr>
      <w:r>
        <w:rPr>
          <w:rStyle w:val="Funotenzeichen"/>
        </w:rPr>
        <w:footnoteRef/>
      </w:r>
      <w:r>
        <w:t xml:space="preserve"> S. 42.</w:t>
      </w:r>
    </w:p>
  </w:footnote>
  <w:footnote w:id="40">
    <w:p w:rsidR="009C6D65" w:rsidRDefault="009C6D65" w:rsidP="00033488">
      <w:pPr>
        <w:pStyle w:val="Funotentext"/>
      </w:pPr>
      <w:r>
        <w:rPr>
          <w:rStyle w:val="Funotenzeichen"/>
        </w:rPr>
        <w:footnoteRef/>
      </w:r>
      <w:r>
        <w:t xml:space="preserve"> </w:t>
      </w:r>
      <w:r>
        <w:rPr>
          <w:rFonts w:eastAsia="MS Mincho"/>
        </w:rPr>
        <w:t xml:space="preserve">In der </w:t>
      </w:r>
      <w:r>
        <w:rPr>
          <w:rFonts w:eastAsia="MS Mincho"/>
          <w:i/>
          <w:iCs/>
        </w:rPr>
        <w:t>Totenkapelle</w:t>
      </w:r>
      <w:r>
        <w:rPr>
          <w:rFonts w:eastAsia="MS Mincho"/>
        </w:rPr>
        <w:t xml:space="preserve"> (wie Anm. 4) bemerkt auch Abraham a Sancta Clara über den Edelmann (S. 168), „dass wer hoch steigt, auch hoch falle“. - Der Kardinalshut als Vanitassymbol erscheint, außer in Totentänzen (S. Erwin Koller, </w:t>
      </w:r>
      <w:r>
        <w:rPr>
          <w:rFonts w:eastAsia="MS Mincho"/>
          <w:i/>
          <w:iCs/>
        </w:rPr>
        <w:t>Totentanz. Versuch einer Textembeschreibung</w:t>
      </w:r>
      <w:r>
        <w:rPr>
          <w:rFonts w:eastAsia="MS Mincho"/>
        </w:rPr>
        <w:t xml:space="preserve">, Innsbruck 1980, S. 104f.), auch in Gabriel Rollenhagens </w:t>
      </w:r>
      <w:r>
        <w:rPr>
          <w:rFonts w:eastAsia="MS Mincho"/>
          <w:i/>
          <w:iCs/>
        </w:rPr>
        <w:t>Nucleus Emblematum</w:t>
      </w:r>
      <w:r>
        <w:rPr>
          <w:rFonts w:eastAsia="MS Mincho"/>
        </w:rPr>
        <w:t xml:space="preserve"> ... (Arnheim 1611, I, Nr. 86), und zwar in Gemeinschaft mit verschiedenen weltlichen und geistlichen Kronen, umgeben von der Devise (bzw. dem Hymnus der Papstinthronisation): „Sic transit gloria mundi.“ - Die Betrachtung des ganzen Lebens und Heilsgeschehens im Bild des Schauspiels ist im Barock von besonderer Bedeutung. Sie baut auf den paulinischen Worten auf: „Wir sind ein Schauspiel (spectaculum) geworden der Welt, den Engeln und den Menschen.“ (1Cor 4,9) Beachtenswert ist hier die ethymologische Nähe der Begriffe spectaculum und speculum.</w:t>
      </w:r>
    </w:p>
  </w:footnote>
  <w:footnote w:id="41">
    <w:p w:rsidR="009C6D65" w:rsidRDefault="009C6D65" w:rsidP="00033488">
      <w:pPr>
        <w:pStyle w:val="Funotentext"/>
      </w:pPr>
      <w:r>
        <w:rPr>
          <w:rStyle w:val="Funotenzeichen"/>
        </w:rPr>
        <w:footnoteRef/>
      </w:r>
      <w:r>
        <w:t xml:space="preserve"> S. 35.</w:t>
      </w:r>
    </w:p>
  </w:footnote>
  <w:footnote w:id="42">
    <w:p w:rsidR="009C6D65" w:rsidRDefault="009C6D65" w:rsidP="00033488">
      <w:pPr>
        <w:pStyle w:val="Funotentext"/>
      </w:pPr>
      <w:r>
        <w:rPr>
          <w:rStyle w:val="Funotenzeichen"/>
        </w:rPr>
        <w:footnoteRef/>
      </w:r>
      <w:r>
        <w:t xml:space="preserve"> </w:t>
      </w:r>
      <w:r>
        <w:rPr>
          <w:rFonts w:eastAsia="MS Mincho"/>
        </w:rPr>
        <w:t xml:space="preserve">S. dazu Rudolf, </w:t>
      </w:r>
      <w:r>
        <w:rPr>
          <w:rFonts w:eastAsia="MS Mincho"/>
          <w:i/>
          <w:iCs/>
        </w:rPr>
        <w:t>Ars moriendi</w:t>
      </w:r>
      <w:r>
        <w:rPr>
          <w:rFonts w:eastAsia="MS Mincho"/>
        </w:rPr>
        <w:t xml:space="preserve"> (wie Anm. 38), vor allem S. 56ff.</w:t>
      </w:r>
    </w:p>
  </w:footnote>
  <w:footnote w:id="43">
    <w:p w:rsidR="009C6D65" w:rsidRDefault="009C6D65" w:rsidP="00033488">
      <w:pPr>
        <w:pStyle w:val="Funotentext"/>
      </w:pPr>
      <w:r>
        <w:rPr>
          <w:rStyle w:val="Funotenzeichen"/>
        </w:rPr>
        <w:footnoteRef/>
      </w:r>
      <w:r>
        <w:t xml:space="preserve"> </w:t>
      </w:r>
      <w:r>
        <w:rPr>
          <w:rFonts w:eastAsia="MS Mincho"/>
        </w:rPr>
        <w:t>S. 2.</w:t>
      </w:r>
    </w:p>
  </w:footnote>
  <w:footnote w:id="44">
    <w:p w:rsidR="009C6D65" w:rsidRDefault="009C6D65" w:rsidP="00033488">
      <w:pPr>
        <w:pStyle w:val="Funotentext"/>
      </w:pPr>
      <w:r>
        <w:rPr>
          <w:rStyle w:val="Funotenzeichen"/>
        </w:rPr>
        <w:footnoteRef/>
      </w:r>
      <w:r>
        <w:t xml:space="preserve"> </w:t>
      </w:r>
      <w:r>
        <w:rPr>
          <w:rFonts w:eastAsia="MS Mincho"/>
        </w:rPr>
        <w:t>S. 18.</w:t>
      </w:r>
    </w:p>
  </w:footnote>
  <w:footnote w:id="45">
    <w:p w:rsidR="009C6D65" w:rsidRDefault="009C6D65" w:rsidP="00033488">
      <w:pPr>
        <w:pStyle w:val="Funotentext"/>
      </w:pPr>
      <w:r>
        <w:rPr>
          <w:rStyle w:val="Funotenzeichen"/>
        </w:rPr>
        <w:footnoteRef/>
      </w:r>
      <w:r>
        <w:t xml:space="preserve"> </w:t>
      </w:r>
      <w:r>
        <w:rPr>
          <w:rFonts w:eastAsia="MS Mincho"/>
        </w:rPr>
        <w:t xml:space="preserve">S. dazu Rudolf, </w:t>
      </w:r>
      <w:r>
        <w:rPr>
          <w:rFonts w:eastAsia="MS Mincho"/>
          <w:i/>
          <w:iCs/>
        </w:rPr>
        <w:t xml:space="preserve">Ars moriendi </w:t>
      </w:r>
      <w:r>
        <w:rPr>
          <w:rFonts w:eastAsia="MS Mincho"/>
        </w:rPr>
        <w:t>(wie Anm. 38), S. 39ff.</w:t>
      </w:r>
    </w:p>
  </w:footnote>
  <w:footnote w:id="46">
    <w:p w:rsidR="009C6D65" w:rsidRDefault="009C6D65" w:rsidP="00033488">
      <w:pPr>
        <w:pStyle w:val="Funotentext"/>
      </w:pPr>
      <w:r>
        <w:rPr>
          <w:rStyle w:val="Funotenzeichen"/>
        </w:rPr>
        <w:footnoteRef/>
      </w:r>
      <w:r>
        <w:t xml:space="preserve"> </w:t>
      </w:r>
      <w:r>
        <w:rPr>
          <w:rFonts w:eastAsia="MS Mincho"/>
        </w:rPr>
        <w:t xml:space="preserve">In dieser Vanitasbedeutung begegnet die Kerze in verschiedenen Emblembüchern; s. </w:t>
      </w:r>
      <w:r>
        <w:rPr>
          <w:rFonts w:eastAsia="MS Mincho"/>
          <w:i/>
          <w:iCs/>
        </w:rPr>
        <w:t>Emblemata. Handbuch zur Sinnbildkunst des XVI. und XVII. Jahrhunderts</w:t>
      </w:r>
      <w:r>
        <w:rPr>
          <w:rFonts w:eastAsia="MS Mincho"/>
        </w:rPr>
        <w:t>,  hg. von Arthur Henkel und Albrecht Schöne, Stuttgart 1967, Sp. 998f.</w:t>
      </w:r>
    </w:p>
  </w:footnote>
  <w:footnote w:id="47">
    <w:p w:rsidR="009C6D65" w:rsidRDefault="009C6D65" w:rsidP="00033488">
      <w:pPr>
        <w:pStyle w:val="Funotentext"/>
      </w:pPr>
      <w:r>
        <w:rPr>
          <w:rStyle w:val="Funotenzeichen"/>
        </w:rPr>
        <w:footnoteRef/>
      </w:r>
      <w:r>
        <w:t xml:space="preserve"> </w:t>
      </w:r>
      <w:r>
        <w:rPr>
          <w:rFonts w:eastAsia="MS Mincho"/>
        </w:rPr>
        <w:t>S. 19: „Fernere erleuterung“.</w:t>
      </w:r>
    </w:p>
  </w:footnote>
  <w:footnote w:id="48">
    <w:p w:rsidR="009C6D65" w:rsidRDefault="009C6D65" w:rsidP="00033488">
      <w:pPr>
        <w:pStyle w:val="Funotentext"/>
      </w:pPr>
      <w:r>
        <w:rPr>
          <w:rStyle w:val="Funotenzeichen"/>
        </w:rPr>
        <w:footnoteRef/>
      </w:r>
      <w:r>
        <w:t xml:space="preserve"> </w:t>
      </w:r>
      <w:r>
        <w:rPr>
          <w:rFonts w:eastAsia="MS Mincho"/>
        </w:rPr>
        <w:t xml:space="preserve">S. das Zitat des </w:t>
      </w:r>
      <w:r>
        <w:rPr>
          <w:rFonts w:eastAsia="MS Mincho"/>
          <w:i/>
          <w:iCs/>
        </w:rPr>
        <w:t>Rituale Romanum</w:t>
      </w:r>
      <w:r>
        <w:rPr>
          <w:rFonts w:eastAsia="MS Mincho"/>
        </w:rPr>
        <w:t xml:space="preserve"> im zweiten Totenkopfbild: „Lux perpetua luceat ei.“</w:t>
      </w:r>
    </w:p>
  </w:footnote>
  <w:footnote w:id="49">
    <w:p w:rsidR="009C6D65" w:rsidRDefault="009C6D65" w:rsidP="00033488">
      <w:pPr>
        <w:pStyle w:val="Funotentext"/>
      </w:pPr>
      <w:r>
        <w:rPr>
          <w:rStyle w:val="Funotenzeichen"/>
        </w:rPr>
        <w:footnoteRef/>
      </w:r>
      <w:r>
        <w:t xml:space="preserve"> S. 23.</w:t>
      </w:r>
    </w:p>
  </w:footnote>
  <w:footnote w:id="50">
    <w:p w:rsidR="009C6D65" w:rsidRDefault="009C6D65" w:rsidP="00033488">
      <w:pPr>
        <w:pStyle w:val="NurText"/>
        <w:jc w:val="both"/>
        <w:rPr>
          <w:rFonts w:ascii="Times New Roman" w:hAnsi="Times New Roman" w:cs="Times New Roman"/>
        </w:rPr>
      </w:pPr>
      <w:r>
        <w:rPr>
          <w:rStyle w:val="Funotenzeichen"/>
          <w:rFonts w:ascii="Times New Roman" w:hAnsi="Times New Roman" w:cs="Times New Roman"/>
        </w:rPr>
        <w:footnoteRef/>
      </w:r>
      <w:r>
        <w:rPr>
          <w:rFonts w:ascii="Times New Roman" w:hAnsi="Times New Roman" w:cs="Times New Roman"/>
          <w:lang w:val="fr-FR"/>
        </w:rPr>
        <w:t xml:space="preserve"> </w:t>
      </w:r>
      <w:r>
        <w:rPr>
          <w:rFonts w:ascii="Times New Roman" w:eastAsia="MS Mincho" w:hAnsi="Times New Roman" w:cs="Times New Roman"/>
          <w:lang w:val="fr-FR"/>
        </w:rPr>
        <w:t xml:space="preserve">S.u. XII. </w:t>
      </w:r>
      <w:r>
        <w:rPr>
          <w:rFonts w:ascii="Times New Roman" w:eastAsia="MS Mincho" w:hAnsi="Times New Roman" w:cs="Times New Roman"/>
        </w:rPr>
        <w:t>Verzeichnis der Porträts, Nr. 6, S. ***</w:t>
      </w:r>
    </w:p>
  </w:footnote>
  <w:footnote w:id="51">
    <w:p w:rsidR="009C6D65" w:rsidRDefault="009C6D65" w:rsidP="00033488">
      <w:pPr>
        <w:pStyle w:val="Funotentext"/>
      </w:pPr>
      <w:r>
        <w:rPr>
          <w:rStyle w:val="Funotenzeichen"/>
        </w:rPr>
        <w:footnoteRef/>
      </w:r>
      <w:r>
        <w:rPr>
          <w:rFonts w:eastAsia="MS Mincho"/>
        </w:rPr>
        <w:t xml:space="preserve"> Wien 1670, Neudruck: </w:t>
      </w:r>
      <w:r>
        <w:rPr>
          <w:rFonts w:eastAsia="MS Mincho"/>
          <w:i/>
          <w:iCs/>
        </w:rPr>
        <w:t>Werke von Abraham a Sancta Clara</w:t>
      </w:r>
      <w:r>
        <w:rPr>
          <w:rFonts w:eastAsia="MS Mincho"/>
        </w:rPr>
        <w:t xml:space="preserve">,  hg. von K. Bertsche (wie Anm. 4), Bd. III (S. 449-473, mit dt. Übersetzung), S. 460, vgl. auch eine halbe S. vorher; zu Megerles Marienverehrung s. P. Tenhaef, „Abraham Megerles Leben, Schriften und musikalische Werke in der ‚Leibeigenschaft’ Mariens“, </w:t>
      </w:r>
      <w:r>
        <w:rPr>
          <w:rFonts w:eastAsia="MS Mincho"/>
          <w:i/>
          <w:iCs/>
        </w:rPr>
        <w:t>Musik  in Bayern</w:t>
      </w:r>
      <w:r>
        <w:rPr>
          <w:rFonts w:eastAsia="MS Mincho"/>
        </w:rPr>
        <w:t xml:space="preserve"> 43 (1991), S. 31-46.</w:t>
      </w:r>
    </w:p>
  </w:footnote>
  <w:footnote w:id="52">
    <w:p w:rsidR="009C6D65" w:rsidRDefault="009C6D65" w:rsidP="00033488">
      <w:pPr>
        <w:pStyle w:val="Funotentext"/>
      </w:pPr>
      <w:r>
        <w:rPr>
          <w:rStyle w:val="Funotenzeichen"/>
        </w:rPr>
        <w:footnoteRef/>
      </w:r>
      <w:r>
        <w:t xml:space="preserve"> </w:t>
      </w:r>
      <w:r>
        <w:rPr>
          <w:rFonts w:eastAsia="MS Mincho"/>
        </w:rPr>
        <w:t xml:space="preserve">Vgl. </w:t>
      </w:r>
      <w:r>
        <w:rPr>
          <w:rFonts w:eastAsia="MS Mincho"/>
          <w:i/>
          <w:iCs/>
        </w:rPr>
        <w:t>Grimms Deutsches Wörterbuch</w:t>
      </w:r>
      <w:r>
        <w:rPr>
          <w:rFonts w:eastAsia="MS Mincho"/>
        </w:rPr>
        <w:t xml:space="preserve">, VIII,752. Das Wort dürfte danach weder mit der Transportfähigkeit der Uhr (Reiseuhr), noch mit dem Getreide Reis (anstatt Sand) zu tun haben. Vgl. Johann Andreas Schmeller, </w:t>
      </w:r>
      <w:r>
        <w:rPr>
          <w:rFonts w:eastAsia="MS Mincho"/>
          <w:i/>
          <w:iCs/>
        </w:rPr>
        <w:t>Bayerisches Wörterbuch</w:t>
      </w:r>
      <w:r>
        <w:rPr>
          <w:rFonts w:eastAsia="MS Mincho"/>
        </w:rPr>
        <w:t>, 2 Bde., München 1872-77, II,143.</w:t>
      </w:r>
    </w:p>
  </w:footnote>
  <w:footnote w:id="53">
    <w:p w:rsidR="009C6D65" w:rsidRDefault="009C6D65" w:rsidP="00033488">
      <w:pPr>
        <w:pStyle w:val="Funotentext"/>
      </w:pPr>
      <w:r>
        <w:rPr>
          <w:rStyle w:val="Funotenzeichen"/>
        </w:rPr>
        <w:footnoteRef/>
      </w:r>
      <w:r>
        <w:t xml:space="preserve"> </w:t>
      </w:r>
      <w:r>
        <w:rPr>
          <w:rFonts w:eastAsia="MS Mincho"/>
        </w:rPr>
        <w:t xml:space="preserve">S. dazu Willy F. Storck, </w:t>
      </w:r>
      <w:r>
        <w:rPr>
          <w:rFonts w:eastAsia="MS Mincho"/>
          <w:i/>
          <w:iCs/>
        </w:rPr>
        <w:t>Das Vado mori</w:t>
      </w:r>
      <w:r>
        <w:rPr>
          <w:rFonts w:eastAsia="MS Mincho"/>
        </w:rPr>
        <w:t xml:space="preserve">, ZfdPh 42 (1910), S. 422-428 sowie Rudolf, </w:t>
      </w:r>
      <w:r>
        <w:rPr>
          <w:rFonts w:eastAsia="MS Mincho"/>
          <w:i/>
          <w:iCs/>
        </w:rPr>
        <w:t>Ars moriendi</w:t>
      </w:r>
      <w:r>
        <w:rPr>
          <w:rFonts w:eastAsia="MS Mincho"/>
        </w:rPr>
        <w:t>, S. 49ff.</w:t>
      </w:r>
    </w:p>
  </w:footnote>
  <w:footnote w:id="54">
    <w:p w:rsidR="009C6D65" w:rsidRDefault="009C6D65" w:rsidP="00033488">
      <w:pPr>
        <w:pStyle w:val="Funotentext"/>
      </w:pPr>
      <w:r>
        <w:rPr>
          <w:rStyle w:val="Funotenzeichen"/>
        </w:rPr>
        <w:footnoteRef/>
      </w:r>
      <w:r>
        <w:t xml:space="preserve"> </w:t>
      </w:r>
      <w:r>
        <w:rPr>
          <w:rFonts w:eastAsia="MS Mincho"/>
        </w:rPr>
        <w:t>Zum Abschied als Todestopos s. Koller (wie Anm. 41), S. 327ff.</w:t>
      </w:r>
    </w:p>
  </w:footnote>
  <w:footnote w:id="55">
    <w:p w:rsidR="009C6D65" w:rsidRDefault="009C6D65" w:rsidP="00033488">
      <w:pPr>
        <w:pStyle w:val="Funotentext"/>
      </w:pPr>
      <w:r>
        <w:rPr>
          <w:rStyle w:val="Funotenzeichen"/>
        </w:rPr>
        <w:footnoteRef/>
      </w:r>
      <w:r>
        <w:t xml:space="preserve"> Übersetzt, vgl. Original, </w:t>
      </w:r>
      <w:r>
        <w:rPr>
          <w:i/>
          <w:iCs/>
        </w:rPr>
        <w:t>Speculum</w:t>
      </w:r>
      <w:r>
        <w:t xml:space="preserve">, S. 3. </w:t>
      </w:r>
    </w:p>
  </w:footnote>
  <w:footnote w:id="56">
    <w:p w:rsidR="009C6D65" w:rsidRDefault="009C6D65" w:rsidP="00033488">
      <w:pPr>
        <w:pStyle w:val="Funotentext"/>
      </w:pPr>
      <w:r>
        <w:rPr>
          <w:rStyle w:val="Funotenzeichen"/>
        </w:rPr>
        <w:footnoteRef/>
      </w:r>
      <w:r>
        <w:t xml:space="preserve"> Übersetzt, vgl. Original, </w:t>
      </w:r>
      <w:r>
        <w:rPr>
          <w:i/>
          <w:iCs/>
        </w:rPr>
        <w:t>Speculum</w:t>
      </w:r>
      <w:r>
        <w:t>, S. 6.</w:t>
      </w:r>
    </w:p>
  </w:footnote>
  <w:footnote w:id="57">
    <w:p w:rsidR="009C6D65" w:rsidRDefault="009C6D65" w:rsidP="00033488">
      <w:pPr>
        <w:pStyle w:val="Funotentext"/>
      </w:pPr>
      <w:r>
        <w:rPr>
          <w:rStyle w:val="Funotenzeichen"/>
        </w:rPr>
        <w:footnoteRef/>
      </w:r>
      <w:r>
        <w:rPr>
          <w:rFonts w:eastAsia="MS Mincho"/>
        </w:rPr>
        <w:t xml:space="preserve"> S. 10; s. auch S. 9.</w:t>
      </w:r>
    </w:p>
  </w:footnote>
  <w:footnote w:id="58">
    <w:p w:rsidR="009C6D65" w:rsidRDefault="009C6D65" w:rsidP="00033488">
      <w:pPr>
        <w:pStyle w:val="Funotentext"/>
      </w:pPr>
      <w:r>
        <w:rPr>
          <w:rStyle w:val="Funotenzeichen"/>
        </w:rPr>
        <w:footnoteRef/>
      </w:r>
      <w:r>
        <w:t xml:space="preserve"> </w:t>
      </w:r>
      <w:r>
        <w:rPr>
          <w:rFonts w:eastAsia="MS Mincho"/>
        </w:rPr>
        <w:t>S. 18; s. auch S. 14f.</w:t>
      </w:r>
    </w:p>
  </w:footnote>
  <w:footnote w:id="59">
    <w:p w:rsidR="009C6D65" w:rsidRPr="00033488" w:rsidRDefault="009C6D65" w:rsidP="00033488">
      <w:pPr>
        <w:pStyle w:val="Funotentext"/>
      </w:pPr>
      <w:r>
        <w:rPr>
          <w:rStyle w:val="Funotenzeichen"/>
        </w:rPr>
        <w:footnoteRef/>
      </w:r>
      <w:r w:rsidRPr="00033488">
        <w:t xml:space="preserve"> </w:t>
      </w:r>
      <w:r w:rsidRPr="00033488">
        <w:rPr>
          <w:rFonts w:eastAsia="MS Mincho"/>
        </w:rPr>
        <w:t>S. 32, 35f.</w:t>
      </w:r>
    </w:p>
  </w:footnote>
  <w:footnote w:id="60">
    <w:p w:rsidR="009C6D65" w:rsidRDefault="009C6D65" w:rsidP="00033488">
      <w:pPr>
        <w:pStyle w:val="Funotentext"/>
        <w:rPr>
          <w:lang w:val="fr-FR"/>
        </w:rPr>
      </w:pPr>
      <w:r>
        <w:rPr>
          <w:rStyle w:val="Funotenzeichen"/>
        </w:rPr>
        <w:footnoteRef/>
      </w:r>
      <w:r>
        <w:rPr>
          <w:lang w:val="fr-FR"/>
        </w:rPr>
        <w:t xml:space="preserve"> Vgl. </w:t>
      </w:r>
      <w:r>
        <w:rPr>
          <w:rFonts w:eastAsia="MS Mincho"/>
          <w:lang w:val="fr-FR"/>
        </w:rPr>
        <w:t>S. 2f.</w:t>
      </w:r>
    </w:p>
  </w:footnote>
  <w:footnote w:id="61">
    <w:p w:rsidR="009C6D65" w:rsidRDefault="009C6D65" w:rsidP="00033488">
      <w:pPr>
        <w:pStyle w:val="Funotentext"/>
      </w:pPr>
      <w:r>
        <w:rPr>
          <w:rStyle w:val="Funotenzeichen"/>
        </w:rPr>
        <w:footnoteRef/>
      </w:r>
      <w:r>
        <w:t xml:space="preserve"> </w:t>
      </w:r>
      <w:r>
        <w:rPr>
          <w:rFonts w:eastAsia="MS Mincho"/>
        </w:rPr>
        <w:t>S. 19.</w:t>
      </w:r>
    </w:p>
  </w:footnote>
  <w:footnote w:id="62">
    <w:p w:rsidR="009C6D65" w:rsidRDefault="009C6D65" w:rsidP="00033488">
      <w:pPr>
        <w:pStyle w:val="Funotentext"/>
      </w:pPr>
      <w:r>
        <w:rPr>
          <w:rStyle w:val="Funotenzeichen"/>
        </w:rPr>
        <w:footnoteRef/>
      </w:r>
      <w:r>
        <w:t xml:space="preserve"> Ebd.</w:t>
      </w:r>
    </w:p>
  </w:footnote>
  <w:footnote w:id="63">
    <w:p w:rsidR="009C6D65" w:rsidRDefault="009C6D65" w:rsidP="00033488">
      <w:pPr>
        <w:pStyle w:val="Funotentext"/>
      </w:pPr>
      <w:r>
        <w:rPr>
          <w:rStyle w:val="Funotenzeichen"/>
        </w:rPr>
        <w:footnoteRef/>
      </w:r>
      <w:r>
        <w:t xml:space="preserve"> </w:t>
      </w:r>
      <w:r>
        <w:rPr>
          <w:rFonts w:eastAsia="MS Mincho"/>
        </w:rPr>
        <w:t>Zum Spektrum des Begriffs Totentanz s. Koller (wie Anm. 41), S. 318ff.</w:t>
      </w:r>
    </w:p>
  </w:footnote>
  <w:footnote w:id="64">
    <w:p w:rsidR="009C6D65" w:rsidRDefault="009C6D65" w:rsidP="00033488">
      <w:pPr>
        <w:pStyle w:val="Funotentext"/>
      </w:pPr>
      <w:r>
        <w:rPr>
          <w:rStyle w:val="Funotenzeichen"/>
        </w:rPr>
        <w:footnoteRef/>
      </w:r>
      <w:r>
        <w:t xml:space="preserve"> </w:t>
      </w:r>
      <w:r>
        <w:rPr>
          <w:rFonts w:eastAsia="MS Mincho"/>
        </w:rPr>
        <w:t>S. ebd.</w:t>
      </w:r>
      <w:r>
        <w:rPr>
          <w:rFonts w:eastAsia="MS Mincho"/>
        </w:rPr>
        <w:softHyphen/>
        <w:t>, S. 26 und 410f.</w:t>
      </w:r>
    </w:p>
  </w:footnote>
  <w:footnote w:id="65">
    <w:p w:rsidR="009C6D65" w:rsidRDefault="009C6D65" w:rsidP="00033488">
      <w:pPr>
        <w:pStyle w:val="Funotentext"/>
      </w:pPr>
      <w:r>
        <w:rPr>
          <w:rStyle w:val="Funotenzeichen"/>
        </w:rPr>
        <w:footnoteRef/>
      </w:r>
      <w:r>
        <w:t xml:space="preserve"> </w:t>
      </w:r>
      <w:r>
        <w:rPr>
          <w:rFonts w:eastAsia="MS Mincho"/>
        </w:rPr>
        <w:t xml:space="preserve">S. 48. </w:t>
      </w:r>
    </w:p>
  </w:footnote>
  <w:footnote w:id="66">
    <w:p w:rsidR="009C6D65" w:rsidRDefault="009C6D65" w:rsidP="00033488">
      <w:pPr>
        <w:pStyle w:val="Funotentext"/>
      </w:pPr>
      <w:r>
        <w:rPr>
          <w:rStyle w:val="Funotenzeichen"/>
        </w:rPr>
        <w:footnoteRef/>
      </w:r>
      <w:r>
        <w:t xml:space="preserve"> </w:t>
      </w:r>
      <w:r>
        <w:rPr>
          <w:rFonts w:eastAsia="MS Mincho"/>
        </w:rPr>
        <w:t xml:space="preserve">S. 43. </w:t>
      </w:r>
    </w:p>
  </w:footnote>
  <w:footnote w:id="67">
    <w:p w:rsidR="009C6D65" w:rsidRDefault="009C6D65" w:rsidP="00033488">
      <w:pPr>
        <w:pStyle w:val="Funotentext"/>
      </w:pPr>
      <w:r>
        <w:rPr>
          <w:rStyle w:val="Funotenzeichen"/>
        </w:rPr>
        <w:footnoteRef/>
      </w:r>
      <w:r>
        <w:t xml:space="preserve"> </w:t>
      </w:r>
      <w:r>
        <w:rPr>
          <w:rFonts w:eastAsia="MS Mincho"/>
        </w:rPr>
        <w:t>S. 38.</w:t>
      </w:r>
    </w:p>
  </w:footnote>
  <w:footnote w:id="68">
    <w:p w:rsidR="009C6D65" w:rsidRDefault="009C6D65" w:rsidP="00033488">
      <w:pPr>
        <w:pStyle w:val="Funotentext"/>
      </w:pPr>
      <w:r>
        <w:rPr>
          <w:rStyle w:val="Funotenzeichen"/>
        </w:rPr>
        <w:footnoteRef/>
      </w:r>
      <w:r>
        <w:t xml:space="preserve"> </w:t>
      </w:r>
      <w:r>
        <w:rPr>
          <w:rFonts w:eastAsia="MS Mincho"/>
        </w:rPr>
        <w:t xml:space="preserve">Die Pause als Todessymbol spielt in der musikalischen Rhetorik des Barock eine große Rolle, vor allem in der Figur der Aposiopesis (Generalpause); s. dazu Hans-Heinrich Unger, </w:t>
      </w:r>
      <w:r>
        <w:rPr>
          <w:rFonts w:eastAsia="MS Mincho"/>
          <w:i/>
          <w:iCs/>
        </w:rPr>
        <w:t>Die Beziehungen zwischen Musik und Rhetorik im 16.-18. Jahrhundert</w:t>
      </w:r>
      <w:r>
        <w:rPr>
          <w:rFonts w:eastAsia="MS Mincho"/>
        </w:rPr>
        <w:t>, Würzburg 1941, S. 70ff.</w:t>
      </w:r>
    </w:p>
  </w:footnote>
  <w:footnote w:id="69">
    <w:p w:rsidR="009C6D65" w:rsidRDefault="009C6D65" w:rsidP="00033488">
      <w:pPr>
        <w:pStyle w:val="Funotentext"/>
      </w:pPr>
      <w:r>
        <w:rPr>
          <w:rStyle w:val="Funotenzeichen"/>
        </w:rPr>
        <w:footnoteRef/>
      </w:r>
      <w:r>
        <w:t xml:space="preserve"> </w:t>
      </w:r>
      <w:r>
        <w:rPr>
          <w:rFonts w:eastAsia="MS Mincho"/>
        </w:rPr>
        <w:t>Im deutschen Titel S. 5.</w:t>
      </w:r>
    </w:p>
  </w:footnote>
  <w:footnote w:id="70">
    <w:p w:rsidR="009C6D65" w:rsidRDefault="009C6D65" w:rsidP="00033488">
      <w:pPr>
        <w:pStyle w:val="Funotentext"/>
      </w:pPr>
      <w:r>
        <w:rPr>
          <w:rStyle w:val="Funotenzeichen"/>
        </w:rPr>
        <w:footnoteRef/>
      </w:r>
      <w:r>
        <w:t xml:space="preserve"> </w:t>
      </w:r>
      <w:r>
        <w:rPr>
          <w:rFonts w:eastAsia="MS Mincho"/>
        </w:rPr>
        <w:t>S. 6.</w:t>
      </w:r>
    </w:p>
  </w:footnote>
  <w:footnote w:id="71">
    <w:p w:rsidR="009C6D65" w:rsidRDefault="009C6D65" w:rsidP="00033488">
      <w:pPr>
        <w:pStyle w:val="Funotentext"/>
      </w:pPr>
      <w:r>
        <w:rPr>
          <w:rStyle w:val="Funotenzeichen"/>
        </w:rPr>
        <w:footnoteRef/>
      </w:r>
      <w:r>
        <w:t xml:space="preserve"> </w:t>
      </w:r>
      <w:r>
        <w:rPr>
          <w:rFonts w:eastAsia="MS Mincho"/>
        </w:rPr>
        <w:t xml:space="preserve">Ebd. Im </w:t>
      </w:r>
      <w:r>
        <w:rPr>
          <w:rFonts w:eastAsia="MS Mincho"/>
          <w:i/>
          <w:iCs/>
        </w:rPr>
        <w:t>Beylag zu meinem Testament</w:t>
      </w:r>
      <w:r>
        <w:rPr>
          <w:rFonts w:eastAsia="MS Mincho"/>
        </w:rPr>
        <w:t xml:space="preserve"> (12. S.) vermacht Megerle der hl. Kapelle zu Altötting seine 1486 Kirchenkompositionen mit der Bedingung, „Jehrlich zu ewigen Weltzeiten drey heylig Messen vor mich zu lesen, und auch das Closter [Zoffingen] darbey eingeschlossen“. Auch bei der auf der 34. S. anbefohlenen Speisung der Siechen und Armen „gleich nach meinem hinschaiden“ erwartet er, äsye solten aber alßbalden bey meiner Messen und Gottesdiensten vleissig bettenä. Mit besonderer Emphase beschwört er „beschließlichen“ im </w:t>
      </w:r>
      <w:r>
        <w:rPr>
          <w:rFonts w:eastAsia="MS Mincho"/>
          <w:i/>
          <w:iCs/>
        </w:rPr>
        <w:t>Beylag</w:t>
      </w:r>
      <w:r>
        <w:rPr>
          <w:rFonts w:eastAsia="MS Mincho"/>
        </w:rPr>
        <w:t xml:space="preserve"> (38. S.), „dz ich vorderist meine vil und hochgelobte H: Chorbrieder, dann auch alle ander Geist: und weltliche, hoch und nidern standts Persohnen biß auf den schlechtist- und ärmisten Pettler, umb die unentliche Barmherzigkeit Gottes willen, auch durch dz hönig sieß fliessende mitleiden verwundte herz der Jungfraulichen Muetter Gottes Mariae in dem schmechlichisten Todt Christi etc. flehentlich auf den khnien, dises schreibend mit vergwissung viller zäher innigelich und demiettigelich lassen umb verzeihung bitten, wo ich etwan einen oder mehr mit meinen unauferpaulichen wandl geögert, oder mit worten, oder werkhen belaidiget hett, ist es mir also laidt gewesen, dz ich vor vergissung viller Zäher nit mehr hab schreiben khünden; Ich bitt derowegen alle umb Ihr heyl: gebett, oder wenigist umb einen eyferigen seiffzer, oder was sye mir aus mitleidenlichen Gnaden gern meiner armen Seel zu Trost wöllen betten; Ich will gwiß derselben im himmel ein threuer Fürbitter sein“.</w:t>
      </w:r>
    </w:p>
  </w:footnote>
  <w:footnote w:id="72">
    <w:p w:rsidR="009C6D65" w:rsidRDefault="009C6D65" w:rsidP="00033488">
      <w:pPr>
        <w:pStyle w:val="Funotentext"/>
      </w:pPr>
      <w:r>
        <w:rPr>
          <w:rStyle w:val="Funotenzeichen"/>
        </w:rPr>
        <w:footnoteRef/>
      </w:r>
      <w:r>
        <w:t xml:space="preserve"> S. 11.</w:t>
      </w:r>
    </w:p>
  </w:footnote>
  <w:footnote w:id="73">
    <w:p w:rsidR="009C6D65" w:rsidRDefault="009C6D65" w:rsidP="00033488">
      <w:pPr>
        <w:pStyle w:val="Funotentext"/>
      </w:pPr>
      <w:r>
        <w:rPr>
          <w:rStyle w:val="Funotenzeichen"/>
        </w:rPr>
        <w:footnoteRef/>
      </w:r>
      <w:r>
        <w:t xml:space="preserve"> Zuerst S. 29.</w:t>
      </w:r>
    </w:p>
  </w:footnote>
  <w:footnote w:id="74">
    <w:p w:rsidR="009C6D65" w:rsidRDefault="009C6D65" w:rsidP="00033488">
      <w:pPr>
        <w:pStyle w:val="Funotentext"/>
      </w:pPr>
      <w:r>
        <w:rPr>
          <w:rStyle w:val="Funotenzeichen"/>
        </w:rPr>
        <w:footnoteRef/>
      </w:r>
      <w:r>
        <w:t xml:space="preserve"> </w:t>
      </w:r>
      <w:r>
        <w:rPr>
          <w:rFonts w:eastAsia="MS Mincho"/>
        </w:rPr>
        <w:t>S. 19.</w:t>
      </w:r>
    </w:p>
  </w:footnote>
  <w:footnote w:id="75">
    <w:p w:rsidR="009C6D65" w:rsidRDefault="009C6D65" w:rsidP="00033488">
      <w:pPr>
        <w:pStyle w:val="Funotentext"/>
      </w:pPr>
      <w:r>
        <w:rPr>
          <w:rStyle w:val="Funotenzeichen"/>
        </w:rPr>
        <w:footnoteRef/>
      </w:r>
      <w:r>
        <w:t xml:space="preserve"> </w:t>
      </w:r>
      <w:r>
        <w:rPr>
          <w:rFonts w:eastAsia="MS Mincho"/>
        </w:rPr>
        <w:t>S. Koller (wie Anm. 41), S. 444ff.</w:t>
      </w:r>
    </w:p>
  </w:footnote>
  <w:footnote w:id="76">
    <w:p w:rsidR="009C6D65" w:rsidRDefault="009C6D65" w:rsidP="00033488">
      <w:pPr>
        <w:pStyle w:val="Funotentext"/>
      </w:pPr>
      <w:r>
        <w:rPr>
          <w:rStyle w:val="Funotenzeichen"/>
        </w:rPr>
        <w:footnoteRef/>
      </w:r>
      <w:r>
        <w:t xml:space="preserve"> </w:t>
      </w:r>
      <w:r>
        <w:rPr>
          <w:rFonts w:eastAsia="MS Mincho"/>
        </w:rPr>
        <w:t>S. Henkel/Schöne (wie Anm. 47), Sp. 2072f. ( Register: „Vergänglichkeit“).</w:t>
      </w:r>
    </w:p>
  </w:footnote>
  <w:footnote w:id="77">
    <w:p w:rsidR="009C6D65" w:rsidRDefault="009C6D65" w:rsidP="00033488">
      <w:pPr>
        <w:pStyle w:val="Funotentext"/>
      </w:pPr>
      <w:r>
        <w:rPr>
          <w:rStyle w:val="Funotenzeichen"/>
        </w:rPr>
        <w:footnoteRef/>
      </w:r>
      <w:r>
        <w:t xml:space="preserve"> </w:t>
      </w:r>
      <w:r>
        <w:rPr>
          <w:rFonts w:eastAsia="MS Mincho"/>
        </w:rPr>
        <w:t xml:space="preserve">Vgl. die Zusammenstellung in Mario Praz, </w:t>
      </w:r>
      <w:r>
        <w:rPr>
          <w:rFonts w:eastAsia="MS Mincho"/>
          <w:i/>
          <w:iCs/>
        </w:rPr>
        <w:t>Studies in Seventeenth-Century Imagery</w:t>
      </w:r>
      <w:r>
        <w:rPr>
          <w:rFonts w:eastAsia="MS Mincho"/>
        </w:rPr>
        <w:t xml:space="preserve"> II (Bibliographie), London 1947, S. 180ff.</w:t>
      </w:r>
    </w:p>
  </w:footnote>
  <w:footnote w:id="78">
    <w:p w:rsidR="009C6D65" w:rsidRDefault="009C6D65" w:rsidP="00033488">
      <w:pPr>
        <w:pStyle w:val="Funotentext"/>
      </w:pPr>
      <w:r>
        <w:rPr>
          <w:rStyle w:val="Funotenzeichen"/>
        </w:rPr>
        <w:footnoteRef/>
      </w:r>
      <w:r>
        <w:t xml:space="preserve"> </w:t>
      </w:r>
      <w:r>
        <w:rPr>
          <w:rFonts w:eastAsia="MS Mincho"/>
        </w:rPr>
        <w:t xml:space="preserve">In verschiedenen Briefen erwähnt er die Jesuiten; im </w:t>
      </w:r>
      <w:r>
        <w:rPr>
          <w:rFonts w:eastAsia="MS Mincho"/>
          <w:i/>
          <w:iCs/>
        </w:rPr>
        <w:t>Beylag</w:t>
      </w:r>
      <w:r>
        <w:rPr>
          <w:rFonts w:eastAsia="MS Mincho"/>
        </w:rPr>
        <w:t xml:space="preserve"> vertraut er den „Patribus Societatis Jesu, als welche in der Music wohlerfahren“, seine musikalische Hinterlassenschaft an; 13. S., vgl. auch ebd. 11., 14., 32. und 45. S.</w:t>
      </w:r>
    </w:p>
  </w:footnote>
  <w:footnote w:id="79">
    <w:p w:rsidR="009C6D65" w:rsidRDefault="009C6D65" w:rsidP="00033488">
      <w:pPr>
        <w:pStyle w:val="Funotentext"/>
      </w:pPr>
      <w:r>
        <w:rPr>
          <w:rStyle w:val="Funotenzeichen"/>
        </w:rPr>
        <w:footnoteRef/>
      </w:r>
      <w:r>
        <w:t xml:space="preserve"> </w:t>
      </w:r>
      <w:r>
        <w:rPr>
          <w:rFonts w:eastAsia="MS Mincho"/>
        </w:rPr>
        <w:t xml:space="preserve">Im </w:t>
      </w:r>
      <w:r>
        <w:rPr>
          <w:rFonts w:eastAsia="MS Mincho"/>
          <w:i/>
          <w:iCs/>
        </w:rPr>
        <w:t>Beylag zu meinem Testament</w:t>
      </w:r>
      <w:r>
        <w:rPr>
          <w:rFonts w:eastAsia="MS Mincho"/>
        </w:rPr>
        <w:t xml:space="preserve"> (14. S.) erwähnt Megerle ausdrücklich ein emblematisches Buch, „genannt Veridicus Christianus, so yber die 100 der allerschönsten Khupfferstich hat2. Autor ist der niederländische Jesuit Ioannes (Jan) David; das Buch erschien in erster Auflage 1601 bei Plantin in Antwerpen und enthält 101 Kupferstiche. (Freundliche Mitteilung der Herzog August Bibliothek Wolfenbüttel.) Außerdem nennt der </w:t>
      </w:r>
      <w:r>
        <w:rPr>
          <w:rFonts w:eastAsia="MS Mincho"/>
          <w:i/>
          <w:iCs/>
        </w:rPr>
        <w:t xml:space="preserve">Beylag </w:t>
      </w:r>
      <w:r>
        <w:rPr>
          <w:rFonts w:eastAsia="MS Mincho"/>
        </w:rPr>
        <w:t xml:space="preserve">(15. S.) „ein und anderes opusculum Drexelij“, das Megerle dem Kloster Zoffingen in Konstanz geschenkt habe. Tatsächlich finden sich noch heute in der Zoffinger Klosterbibliothek zehn Werke von Drexel (Sign.: AE 37-41 und AD 32-35), bis auf eines alle vor 1670 erschienen. Bemerkenswert ist darunter, neben den vierbändigen </w:t>
      </w:r>
      <w:r>
        <w:rPr>
          <w:rFonts w:eastAsia="MS Mincho"/>
          <w:i/>
          <w:iCs/>
        </w:rPr>
        <w:t>Opera omnia</w:t>
      </w:r>
      <w:r>
        <w:rPr>
          <w:rFonts w:eastAsia="MS Mincho"/>
        </w:rPr>
        <w:t xml:space="preserve">, vor allem </w:t>
      </w:r>
      <w:r>
        <w:rPr>
          <w:rFonts w:eastAsia="MS Mincho"/>
          <w:i/>
          <w:iCs/>
        </w:rPr>
        <w:t>Christlicher Trismegistos</w:t>
      </w:r>
      <w:r>
        <w:rPr>
          <w:rFonts w:eastAsia="MS Mincho"/>
        </w:rPr>
        <w:t xml:space="preserve"> (Augsburg 1626); Megerle verherrlicht nämlich im Vorwort seiner Propriensammlung </w:t>
      </w:r>
      <w:r>
        <w:rPr>
          <w:rFonts w:eastAsia="MS Mincho"/>
          <w:i/>
          <w:iCs/>
        </w:rPr>
        <w:t>Ara musica</w:t>
      </w:r>
      <w:r>
        <w:rPr>
          <w:rFonts w:eastAsia="MS Mincho"/>
        </w:rPr>
        <w:t xml:space="preserve"> (Salzburg 1647) den Salzburger Erzbischof Paris Lodron als einen neuen Trismegistos. Unter Drexels sonstigen Opera fällt im Hinblick auf Megerles </w:t>
      </w:r>
      <w:r>
        <w:rPr>
          <w:rFonts w:eastAsia="MS Mincho"/>
          <w:i/>
          <w:iCs/>
        </w:rPr>
        <w:t>Speculum</w:t>
      </w:r>
      <w:r>
        <w:rPr>
          <w:rFonts w:eastAsia="MS Mincho"/>
        </w:rPr>
        <w:t xml:space="preserve">, außer der Schrift </w:t>
      </w:r>
      <w:r>
        <w:rPr>
          <w:rFonts w:eastAsia="MS Mincho"/>
          <w:i/>
          <w:iCs/>
        </w:rPr>
        <w:t>De aeternitate consideratio</w:t>
      </w:r>
      <w:r>
        <w:rPr>
          <w:rFonts w:eastAsia="MS Mincho"/>
        </w:rPr>
        <w:t xml:space="preserve">, vor allem der </w:t>
      </w:r>
      <w:r>
        <w:rPr>
          <w:rFonts w:eastAsia="MS Mincho"/>
          <w:i/>
          <w:iCs/>
        </w:rPr>
        <w:t>Zodiacus christianus seu signa XII. Diuinae Praedestinationis totidem Symbolis explicata</w:t>
      </w:r>
      <w:r>
        <w:rPr>
          <w:rFonts w:eastAsia="MS Mincho"/>
        </w:rPr>
        <w:t xml:space="preserve"> auf; in den zwölf Sinnbildern dieses Werkes begegnet, neben Totenkopf und Laute, an erster Stelle (wie bei Megerle) die brennende Kerze, dazu der Text: „Cereus ardens, quo designatur Lux interna, quae beneficia Dei, vanitatem mundi, vitae brevitatem ...“ - Unter Jacob Baldes Werken ist seine 1637 lateinisch und deutsch erschienene </w:t>
      </w:r>
      <w:r>
        <w:rPr>
          <w:rFonts w:eastAsia="MS Mincho"/>
          <w:i/>
          <w:iCs/>
        </w:rPr>
        <w:t>Ode nova dicta Hecatombe de vanitate mvndi</w:t>
      </w:r>
      <w:r>
        <w:rPr>
          <w:rFonts w:eastAsia="MS Mincho"/>
        </w:rPr>
        <w:t xml:space="preserve"> hervorzuheben, außerdem sein </w:t>
      </w:r>
      <w:r>
        <w:rPr>
          <w:rFonts w:eastAsia="MS Mincho"/>
          <w:i/>
          <w:iCs/>
        </w:rPr>
        <w:t>Solatium podagricorum</w:t>
      </w:r>
      <w:r>
        <w:rPr>
          <w:rFonts w:eastAsia="MS Mincho"/>
        </w:rPr>
        <w:t xml:space="preserve"> (2 Bde., München 1661); aber auch Baldes </w:t>
      </w:r>
      <w:r>
        <w:rPr>
          <w:rFonts w:eastAsia="MS Mincho"/>
          <w:i/>
          <w:iCs/>
        </w:rPr>
        <w:t xml:space="preserve">Ehrenpreiß der allerseligsten Jungfrawen vnd Mutter Gottes Mariae </w:t>
      </w:r>
      <w:r>
        <w:rPr>
          <w:rFonts w:eastAsia="MS Mincho"/>
        </w:rPr>
        <w:t xml:space="preserve">(1640) könnte in den letzten Strophen den glühenden Marianer Megerle für sein </w:t>
      </w:r>
      <w:r>
        <w:rPr>
          <w:rFonts w:eastAsia="MS Mincho"/>
          <w:i/>
          <w:iCs/>
        </w:rPr>
        <w:t xml:space="preserve">Speculum </w:t>
      </w:r>
      <w:r>
        <w:rPr>
          <w:rFonts w:eastAsia="MS Mincho"/>
        </w:rPr>
        <w:t xml:space="preserve">inspiriert haben. (Beide Werke sind von Rudolf Berger 1983 in Amsterdam neu ediert worden.) Unter Baldes Gedichten sind im Hinblick auf Megerles </w:t>
      </w:r>
      <w:r>
        <w:rPr>
          <w:rFonts w:eastAsia="MS Mincho"/>
          <w:i/>
          <w:iCs/>
        </w:rPr>
        <w:t>Speculum</w:t>
      </w:r>
      <w:r>
        <w:rPr>
          <w:rFonts w:eastAsia="MS Mincho"/>
        </w:rPr>
        <w:t xml:space="preserve"> zu erwähnen: </w:t>
      </w:r>
      <w:r>
        <w:rPr>
          <w:rFonts w:eastAsia="MS Mincho"/>
          <w:i/>
          <w:iCs/>
        </w:rPr>
        <w:t>De laudibus B. Mariae V. odae partheniae</w:t>
      </w:r>
      <w:r>
        <w:rPr>
          <w:rFonts w:eastAsia="MS Mincho"/>
        </w:rPr>
        <w:t xml:space="preserve"> (München 1648) und </w:t>
      </w:r>
      <w:r>
        <w:rPr>
          <w:rFonts w:eastAsia="MS Mincho"/>
          <w:i/>
          <w:iCs/>
        </w:rPr>
        <w:t>Choreae mortuales</w:t>
      </w:r>
      <w:r>
        <w:rPr>
          <w:rFonts w:eastAsia="MS Mincho"/>
        </w:rPr>
        <w:t xml:space="preserve"> (Totentanz) (neu ediert von Max Wehrli in: Jacob Balde, </w:t>
      </w:r>
      <w:r>
        <w:rPr>
          <w:rFonts w:eastAsia="MS Mincho"/>
          <w:i/>
          <w:iCs/>
        </w:rPr>
        <w:t>Dichtungen</w:t>
      </w:r>
      <w:r>
        <w:rPr>
          <w:rFonts w:eastAsia="MS Mincho"/>
        </w:rPr>
        <w:t>, lateinisch und deutsch in Auswahl, Köln/Olten 1963).</w:t>
      </w:r>
    </w:p>
  </w:footnote>
  <w:footnote w:id="80">
    <w:p w:rsidR="009C6D65" w:rsidRDefault="009C6D65" w:rsidP="00033488">
      <w:pPr>
        <w:pStyle w:val="Funotentext"/>
      </w:pPr>
      <w:r>
        <w:rPr>
          <w:rStyle w:val="Funotenzeichen"/>
        </w:rPr>
        <w:footnoteRef/>
      </w:r>
      <w:r>
        <w:t xml:space="preserve"> </w:t>
      </w:r>
      <w:r>
        <w:rPr>
          <w:rFonts w:eastAsia="MS Mincho"/>
        </w:rPr>
        <w:t xml:space="preserve">Im selben Jahr erschien in Amsterdam: Hendrik Laurenszoon, </w:t>
      </w:r>
      <w:r>
        <w:rPr>
          <w:rFonts w:eastAsia="MS Mincho"/>
          <w:i/>
          <w:iCs/>
        </w:rPr>
        <w:t>Spieghels Hartspiegel, verciert met schoone kopere Platen</w:t>
      </w:r>
      <w:r>
        <w:rPr>
          <w:rFonts w:eastAsia="MS Mincho"/>
        </w:rPr>
        <w:t xml:space="preserve">. Zu weiteren niederländischen Emblembüchern mit dem Titel </w:t>
      </w:r>
      <w:r>
        <w:rPr>
          <w:rFonts w:eastAsia="MS Mincho"/>
          <w:i/>
          <w:iCs/>
        </w:rPr>
        <w:t>Spiegel</w:t>
      </w:r>
      <w:r>
        <w:rPr>
          <w:rFonts w:eastAsia="MS Mincho"/>
        </w:rPr>
        <w:t xml:space="preserve"> s. Praz (wie Anm. 78), S. 157.</w:t>
      </w:r>
    </w:p>
  </w:footnote>
  <w:footnote w:id="81">
    <w:p w:rsidR="009C6D65" w:rsidRDefault="009C6D65" w:rsidP="00033488">
      <w:pPr>
        <w:pStyle w:val="Funotentext"/>
      </w:pPr>
      <w:r>
        <w:rPr>
          <w:rStyle w:val="Funotenzeichen"/>
        </w:rPr>
        <w:footnoteRef/>
      </w:r>
      <w:r>
        <w:t xml:space="preserve"> </w:t>
      </w:r>
      <w:r>
        <w:rPr>
          <w:rFonts w:eastAsia="MS Mincho"/>
        </w:rPr>
        <w:t>Zu musikalischen Totentänzen s. Koller (wie Anm. 41), S. 320ff. und 490f.</w:t>
      </w:r>
    </w:p>
  </w:footnote>
  <w:footnote w:id="82">
    <w:p w:rsidR="009C6D65" w:rsidRDefault="009C6D65" w:rsidP="00033488">
      <w:pPr>
        <w:pStyle w:val="Funotentext"/>
      </w:pPr>
      <w:r>
        <w:rPr>
          <w:rStyle w:val="Funotenzeichen"/>
        </w:rPr>
        <w:footnoteRef/>
      </w:r>
      <w:r>
        <w:t xml:space="preserve"> </w:t>
      </w:r>
      <w:r>
        <w:rPr>
          <w:rFonts w:eastAsia="MS Mincho"/>
        </w:rPr>
        <w:t xml:space="preserve">Aicher war Professor für Moralphilosophie, Geschichte und Rhetorik an der Salzburger Benediktineruniversität und daselbst Lehrer Abrahams a Sancta Clara (vgl. Zedlers </w:t>
      </w:r>
      <w:r>
        <w:rPr>
          <w:rFonts w:eastAsia="MS Mincho"/>
          <w:i/>
          <w:iCs/>
        </w:rPr>
        <w:t xml:space="preserve">Universallexikon </w:t>
      </w:r>
      <w:r>
        <w:rPr>
          <w:rFonts w:eastAsia="MS Mincho"/>
        </w:rPr>
        <w:t>I</w:t>
      </w:r>
      <w:proofErr w:type="gramStart"/>
      <w:r>
        <w:rPr>
          <w:rFonts w:eastAsia="MS Mincho"/>
        </w:rPr>
        <w:t>,868</w:t>
      </w:r>
      <w:proofErr w:type="gramEnd"/>
      <w:r>
        <w:rPr>
          <w:rFonts w:eastAsia="MS Mincho"/>
        </w:rPr>
        <w:t xml:space="preserve"> sowie Bertsche, </w:t>
      </w:r>
      <w:r>
        <w:rPr>
          <w:rFonts w:eastAsia="MS Mincho"/>
          <w:i/>
          <w:iCs/>
        </w:rPr>
        <w:t>Die Totenkapelle</w:t>
      </w:r>
      <w:r>
        <w:rPr>
          <w:rFonts w:eastAsia="MS Mincho"/>
        </w:rPr>
        <w:t xml:space="preserve"> (wie Anm. 4), S. 13).</w:t>
      </w:r>
    </w:p>
  </w:footnote>
  <w:footnote w:id="83">
    <w:p w:rsidR="009C6D65" w:rsidRDefault="009C6D65" w:rsidP="00033488">
      <w:pPr>
        <w:pStyle w:val="Funotentext"/>
      </w:pPr>
      <w:r>
        <w:rPr>
          <w:rStyle w:val="Funotenzeichen"/>
        </w:rPr>
        <w:footnoteRef/>
      </w:r>
      <w:r>
        <w:t xml:space="preserve"> </w:t>
      </w:r>
      <w:r>
        <w:rPr>
          <w:rFonts w:eastAsia="MS Mincho"/>
        </w:rPr>
        <w:t>In einem Brief vom 21.3.1669 an das Dominikanerinnenkloster Zoffingen berichtet Megerle von einer Bearbeitung eines „bichl mit 25 Teutschen Liedern von v. L. Frauen, so mir dediciert worden von ainem Benedictiner bey St. Peter zu Saltzburg Pater Romanus Myller genannt“, Zoffingen, Konstanz, Faszikel Nr. 20.</w:t>
      </w:r>
    </w:p>
  </w:footnote>
  <w:footnote w:id="84">
    <w:p w:rsidR="009C6D65" w:rsidRDefault="009C6D65" w:rsidP="00033488">
      <w:pPr>
        <w:pStyle w:val="Funotentext"/>
      </w:pPr>
      <w:r>
        <w:rPr>
          <w:rStyle w:val="Funotenzeichen"/>
        </w:rPr>
        <w:footnoteRef/>
      </w:r>
      <w:r>
        <w:t xml:space="preserve"> </w:t>
      </w:r>
      <w:r>
        <w:rPr>
          <w:rFonts w:eastAsia="MS Mincho"/>
        </w:rPr>
        <w:t>Dies vermutet Konrad Ruhland (Niederaltaich), dem ich für die Bekanntmachung mit diesem Werk danke.</w:t>
      </w:r>
    </w:p>
  </w:footnote>
  <w:footnote w:id="85">
    <w:p w:rsidR="009C6D65" w:rsidRDefault="009C6D65" w:rsidP="00033488">
      <w:pPr>
        <w:pStyle w:val="Funotentext"/>
      </w:pPr>
      <w:r>
        <w:rPr>
          <w:rStyle w:val="Funotenzeichen"/>
        </w:rPr>
        <w:footnoteRef/>
      </w:r>
      <w:r>
        <w:t xml:space="preserve"> </w:t>
      </w:r>
      <w:r>
        <w:rPr>
          <w:rFonts w:eastAsia="MS Mincho"/>
        </w:rPr>
        <w:t xml:space="preserve">Außer in verschiedenen in Zoffingen (Faszikel Nr. 20) verwahrten Briefen spielt Abraham a Sancta Clara in Megerles </w:t>
      </w:r>
      <w:r>
        <w:rPr>
          <w:rFonts w:eastAsia="MS Mincho"/>
          <w:i/>
          <w:iCs/>
        </w:rPr>
        <w:t>Beylag</w:t>
      </w:r>
      <w:r>
        <w:rPr>
          <w:rFonts w:eastAsia="MS Mincho"/>
        </w:rPr>
        <w:t xml:space="preserve"> eine wichtige Rolle; so bekam er 1671 von seinem Oheim ein „Predtig Puech in schwarz leder, genannt der Weegweiser gehn himmel, dz ist Catholische Predtigen, yber alle feyrtagliche Evangelia des ganzen Jahrs anno 1668“ (41. S.). Weiter schreibt Megerle hier, „dz Er mir sein vätterliches Erb, so 150 fl: betrifft verschafft, und verschriben hat, weil ich ihn zum Studiren verlegt, und vil uncosten an ihn gewendet, wie ein buech in folio verhandten von seiner aigenen handtschrifft und Petschafft in einer schubladt sub Lit. H. außwendtig darauf geschriben, sambt allerley Beylagen, nemblich  Verzaichnuß  Waß Ich Hannß Ulrich Megerle von einer Zeit zu der andern nach und nach in gelt und geltswerth, auch anderer Uncosten halber, von meinem vilgeliebten und hochgeehrten herrn Vettern Abrahamo Megerle Chorherrn zu Altenötting etc. empfangen hab, lauth meiner aigenen handtschrifft und Pettschafft, wie inwendtig zu sehen.  Actum  Altenötting den 6.ten Aug: ao 1661./.“</w:t>
      </w:r>
    </w:p>
  </w:footnote>
  <w:footnote w:id="86">
    <w:p w:rsidR="009C6D65" w:rsidRDefault="009C6D65" w:rsidP="00033488">
      <w:pPr>
        <w:pStyle w:val="Funotentext"/>
      </w:pPr>
      <w:r>
        <w:rPr>
          <w:rStyle w:val="Funotenzeichen"/>
        </w:rPr>
        <w:footnoteRef/>
      </w:r>
      <w:r>
        <w:t xml:space="preserve"> </w:t>
      </w:r>
      <w:r>
        <w:rPr>
          <w:rFonts w:eastAsia="MS Mincho"/>
        </w:rPr>
        <w:t>Hg. von Bertsche (wie Anm. 4).</w:t>
      </w:r>
    </w:p>
  </w:footnote>
  <w:footnote w:id="87">
    <w:p w:rsidR="009C6D65" w:rsidRDefault="009C6D65" w:rsidP="00033488">
      <w:pPr>
        <w:pStyle w:val="Funotentext"/>
      </w:pPr>
      <w:r>
        <w:rPr>
          <w:rStyle w:val="Funotenzeichen"/>
        </w:rPr>
        <w:footnoteRef/>
      </w:r>
      <w:r>
        <w:t xml:space="preserve"> Ebd.</w:t>
      </w:r>
      <w:r>
        <w:rPr>
          <w:rFonts w:eastAsia="MS Mincho"/>
        </w:rPr>
        <w:t xml:space="preserve">, S. 3, in: </w:t>
      </w:r>
      <w:proofErr w:type="gramStart"/>
      <w:r>
        <w:rPr>
          <w:rFonts w:eastAsia="MS Mincho"/>
        </w:rPr>
        <w:t>Ders.,</w:t>
      </w:r>
      <w:proofErr w:type="gramEnd"/>
      <w:r>
        <w:rPr>
          <w:rFonts w:eastAsia="MS Mincho"/>
        </w:rPr>
        <w:t xml:space="preserve"> </w:t>
      </w:r>
      <w:r>
        <w:rPr>
          <w:rFonts w:eastAsia="MS Mincho"/>
          <w:i/>
          <w:iCs/>
        </w:rPr>
        <w:t>Reimb dich oder ich liß dich, Das ist: Allerley Materien / Discurs, Concept, unnd Predigen ....</w:t>
      </w:r>
      <w:r>
        <w:rPr>
          <w:rFonts w:eastAsia="MS Mincho"/>
        </w:rPr>
        <w:t xml:space="preserve">, Luzern 1688. Vgl. auch </w:t>
      </w:r>
      <w:r>
        <w:rPr>
          <w:rFonts w:eastAsia="MS Mincho"/>
          <w:i/>
          <w:iCs/>
        </w:rPr>
        <w:t>Totenkapelle</w:t>
      </w:r>
      <w:r>
        <w:rPr>
          <w:rFonts w:eastAsia="MS Mincho"/>
        </w:rPr>
        <w:t xml:space="preserve"> Nr. 19 (S. 129): „der Tod ist Spielmann und Tanzmeister! Setz die Füß fein zierlich, die Pas müssen fein nach der Mensur gehen“.</w:t>
      </w:r>
    </w:p>
  </w:footnote>
  <w:footnote w:id="88">
    <w:p w:rsidR="009C6D65" w:rsidRDefault="009C6D65" w:rsidP="00033488">
      <w:pPr>
        <w:pStyle w:val="Funotentext"/>
      </w:pPr>
      <w:r>
        <w:rPr>
          <w:rStyle w:val="Funotenzeichen"/>
        </w:rPr>
        <w:footnoteRef/>
      </w:r>
      <w:r>
        <w:t xml:space="preserve"> </w:t>
      </w:r>
      <w:r>
        <w:rPr>
          <w:rFonts w:eastAsia="MS Mincho"/>
        </w:rPr>
        <w:t>Wien 1680, S. 222ff.</w:t>
      </w:r>
    </w:p>
  </w:footnote>
  <w:footnote w:id="89">
    <w:p w:rsidR="009C6D65" w:rsidRPr="00033488" w:rsidRDefault="009C6D65" w:rsidP="00033488">
      <w:pPr>
        <w:pStyle w:val="Funotentext"/>
      </w:pPr>
      <w:r>
        <w:rPr>
          <w:rStyle w:val="Funotenzeichen"/>
        </w:rPr>
        <w:footnoteRef/>
      </w:r>
      <w:r w:rsidRPr="00033488">
        <w:t xml:space="preserve"> Ebd., </w:t>
      </w:r>
      <w:r w:rsidRPr="00033488">
        <w:rPr>
          <w:rFonts w:eastAsia="MS Mincho"/>
        </w:rPr>
        <w:t>S. 214.</w:t>
      </w:r>
    </w:p>
  </w:footnote>
  <w:footnote w:id="90">
    <w:p w:rsidR="009C6D65" w:rsidRDefault="009C6D65" w:rsidP="00033488">
      <w:pPr>
        <w:pStyle w:val="Funotentext"/>
        <w:rPr>
          <w:lang w:val="en-GB"/>
        </w:rPr>
      </w:pPr>
      <w:r>
        <w:rPr>
          <w:rStyle w:val="Funotenzeichen"/>
        </w:rPr>
        <w:footnoteRef/>
      </w:r>
      <w:r>
        <w:rPr>
          <w:lang w:val="en-GB"/>
        </w:rPr>
        <w:t xml:space="preserve"> </w:t>
      </w:r>
      <w:r>
        <w:rPr>
          <w:rFonts w:eastAsia="MS Mincho"/>
          <w:i/>
          <w:iCs/>
          <w:lang w:val="en-GB"/>
        </w:rPr>
        <w:t>Speculum</w:t>
      </w:r>
      <w:r>
        <w:rPr>
          <w:rFonts w:eastAsia="MS Mincho"/>
          <w:lang w:val="en-GB"/>
        </w:rPr>
        <w:t>, S. 3.</w:t>
      </w:r>
    </w:p>
  </w:footnote>
  <w:footnote w:id="91">
    <w:p w:rsidR="009C6D65" w:rsidRDefault="009C6D65" w:rsidP="00033488">
      <w:pPr>
        <w:pStyle w:val="Funotentext"/>
        <w:rPr>
          <w:lang w:val="en-GB"/>
        </w:rPr>
      </w:pPr>
      <w:r>
        <w:rPr>
          <w:rStyle w:val="Funotenzeichen"/>
        </w:rPr>
        <w:footnoteRef/>
      </w:r>
      <w:r>
        <w:rPr>
          <w:lang w:val="en-GB"/>
        </w:rPr>
        <w:t xml:space="preserve"> </w:t>
      </w:r>
      <w:r>
        <w:rPr>
          <w:rFonts w:eastAsia="MS Mincho"/>
          <w:lang w:val="en-GB"/>
        </w:rPr>
        <w:t>S. 13, 253.</w:t>
      </w:r>
    </w:p>
  </w:footnote>
  <w:footnote w:id="92">
    <w:p w:rsidR="009C6D65" w:rsidRDefault="009C6D65" w:rsidP="00033488">
      <w:pPr>
        <w:pStyle w:val="Funotentext"/>
        <w:rPr>
          <w:lang w:val="en-GB"/>
        </w:rPr>
      </w:pPr>
      <w:r>
        <w:rPr>
          <w:rStyle w:val="Funotenzeichen"/>
        </w:rPr>
        <w:footnoteRef/>
      </w:r>
      <w:r>
        <w:rPr>
          <w:lang w:val="en-GB"/>
        </w:rPr>
        <w:t xml:space="preserve"> </w:t>
      </w:r>
      <w:r>
        <w:rPr>
          <w:rFonts w:eastAsia="MS Mincho"/>
          <w:lang w:val="en-GB"/>
        </w:rPr>
        <w:t xml:space="preserve">S. </w:t>
      </w:r>
      <w:proofErr w:type="gramStart"/>
      <w:r>
        <w:rPr>
          <w:rFonts w:eastAsia="MS Mincho"/>
          <w:lang w:val="en-GB"/>
        </w:rPr>
        <w:t>31f.,</w:t>
      </w:r>
      <w:proofErr w:type="gramEnd"/>
      <w:r>
        <w:rPr>
          <w:rFonts w:eastAsia="MS Mincho"/>
          <w:lang w:val="en-GB"/>
        </w:rPr>
        <w:t xml:space="preserve"> 41f.</w:t>
      </w:r>
    </w:p>
  </w:footnote>
  <w:footnote w:id="93">
    <w:p w:rsidR="009C6D65" w:rsidRPr="009C6D65" w:rsidRDefault="009C6D65" w:rsidP="00033488">
      <w:pPr>
        <w:pStyle w:val="Funotentext"/>
        <w:rPr>
          <w:lang w:val="en-US"/>
        </w:rPr>
      </w:pPr>
      <w:r>
        <w:rPr>
          <w:rStyle w:val="Funotenzeichen"/>
        </w:rPr>
        <w:footnoteRef/>
      </w:r>
      <w:r w:rsidRPr="009C6D65">
        <w:rPr>
          <w:lang w:val="en-US"/>
        </w:rPr>
        <w:t xml:space="preserve"> </w:t>
      </w:r>
      <w:r w:rsidRPr="009C6D65">
        <w:rPr>
          <w:rFonts w:eastAsia="MS Mincho"/>
          <w:lang w:val="en-US"/>
        </w:rPr>
        <w:t>S. 134.</w:t>
      </w:r>
    </w:p>
  </w:footnote>
  <w:footnote w:id="94">
    <w:p w:rsidR="009C6D65" w:rsidRDefault="009C6D65" w:rsidP="00033488">
      <w:pPr>
        <w:pStyle w:val="Funotentext"/>
      </w:pPr>
      <w:r>
        <w:rPr>
          <w:rStyle w:val="Funotenzeichen"/>
        </w:rPr>
        <w:footnoteRef/>
      </w:r>
      <w:r>
        <w:t xml:space="preserve"> </w:t>
      </w:r>
      <w:r>
        <w:rPr>
          <w:rFonts w:eastAsia="MS Mincho"/>
        </w:rPr>
        <w:t>Ebd.f.</w:t>
      </w:r>
    </w:p>
  </w:footnote>
  <w:footnote w:id="95">
    <w:p w:rsidR="009C6D65" w:rsidRDefault="009C6D65" w:rsidP="00033488">
      <w:pPr>
        <w:pStyle w:val="Funotentext"/>
      </w:pPr>
      <w:r>
        <w:rPr>
          <w:rStyle w:val="Funotenzeichen"/>
        </w:rPr>
        <w:footnoteRef/>
      </w:r>
      <w:r>
        <w:t xml:space="preserve"> </w:t>
      </w:r>
      <w:r>
        <w:rPr>
          <w:rFonts w:eastAsia="MS Mincho"/>
        </w:rPr>
        <w:t>S. 186-190.</w:t>
      </w:r>
    </w:p>
  </w:footnote>
  <w:footnote w:id="96">
    <w:p w:rsidR="009C6D65" w:rsidRDefault="009C6D65" w:rsidP="00033488">
      <w:pPr>
        <w:pStyle w:val="Funotentext"/>
      </w:pPr>
      <w:r>
        <w:rPr>
          <w:rStyle w:val="Funotenzeichen"/>
        </w:rPr>
        <w:footnoteRef/>
      </w:r>
      <w:r>
        <w:t xml:space="preserve"> </w:t>
      </w:r>
      <w:r>
        <w:rPr>
          <w:rFonts w:eastAsia="MS Mincho"/>
        </w:rPr>
        <w:t>Blumen- und Musikstilleben lassen durch verwelkende Blätter oder gerissene Saiten, wenn nicht direkt durch hinzugefügte Totenschädel, oft einen Bezug zum Vanitasthema erkennen.</w:t>
      </w:r>
    </w:p>
  </w:footnote>
  <w:footnote w:id="97">
    <w:p w:rsidR="009C6D65" w:rsidRDefault="009C6D65" w:rsidP="00033488">
      <w:pPr>
        <w:pStyle w:val="Funotentext"/>
      </w:pPr>
      <w:r>
        <w:rPr>
          <w:rStyle w:val="Funotenzeichen"/>
        </w:rPr>
        <w:footnoteRef/>
      </w:r>
      <w:r>
        <w:t xml:space="preserve"> </w:t>
      </w:r>
      <w:r>
        <w:rPr>
          <w:rFonts w:eastAsia="MS Mincho"/>
        </w:rPr>
        <w:t>Letzteres fehlt nur zum 13. Totenkopf.</w:t>
      </w:r>
    </w:p>
  </w:footnote>
  <w:footnote w:id="98">
    <w:p w:rsidR="009C6D65" w:rsidRDefault="009C6D65" w:rsidP="00033488">
      <w:pPr>
        <w:pStyle w:val="Funotentext"/>
      </w:pPr>
      <w:r>
        <w:rPr>
          <w:rStyle w:val="Funotenzeichen"/>
        </w:rPr>
        <w:footnoteRef/>
      </w:r>
      <w:r>
        <w:t xml:space="preserve"> </w:t>
      </w:r>
      <w:r>
        <w:rPr>
          <w:rFonts w:eastAsia="MS Mincho"/>
        </w:rPr>
        <w:t>S. 12, 18, 47.</w:t>
      </w:r>
    </w:p>
  </w:footnote>
  <w:footnote w:id="99">
    <w:p w:rsidR="009C6D65" w:rsidRDefault="009C6D65" w:rsidP="00033488">
      <w:pPr>
        <w:pStyle w:val="NurText"/>
        <w:jc w:val="both"/>
        <w:rPr>
          <w:rFonts w:ascii="Times New Roman" w:hAnsi="Times New Roman" w:cs="Times New Roman"/>
        </w:rPr>
      </w:pPr>
      <w:r>
        <w:rPr>
          <w:rStyle w:val="Funotenzeichen"/>
          <w:rFonts w:ascii="Times New Roman" w:hAnsi="Times New Roman" w:cs="Times New Roman"/>
        </w:rPr>
        <w:footnoteRef/>
      </w:r>
      <w:r>
        <w:rPr>
          <w:rFonts w:ascii="Times New Roman" w:hAnsi="Times New Roman" w:cs="Times New Roman"/>
        </w:rPr>
        <w:t xml:space="preserve"> </w:t>
      </w:r>
      <w:r>
        <w:rPr>
          <w:rFonts w:ascii="Times New Roman" w:eastAsia="MS Mincho" w:hAnsi="Times New Roman" w:cs="Times New Roman"/>
        </w:rPr>
        <w:t>Gelegentlich klingt auch Alemannisches an (durch Megerles schwäbische Vorfahren oder seine Tätigkeit in Konstanz?), wie im Verb „schutzt“ S. 42; s. dazu die Bemerkung.</w:t>
      </w:r>
    </w:p>
  </w:footnote>
  <w:footnote w:id="100">
    <w:p w:rsidR="009C6D65" w:rsidRDefault="009C6D65" w:rsidP="00033488">
      <w:pPr>
        <w:pStyle w:val="Funotentext"/>
      </w:pPr>
      <w:r>
        <w:rPr>
          <w:rStyle w:val="Funotenzeichen"/>
        </w:rPr>
        <w:footnoteRef/>
      </w:r>
      <w:r>
        <w:t xml:space="preserve"> S. 26.</w:t>
      </w:r>
    </w:p>
  </w:footnote>
  <w:footnote w:id="101">
    <w:p w:rsidR="009C6D65" w:rsidRDefault="009C6D65" w:rsidP="00033488">
      <w:pPr>
        <w:pStyle w:val="Funotentext"/>
      </w:pPr>
      <w:r>
        <w:rPr>
          <w:rStyle w:val="Funotenzeichen"/>
        </w:rPr>
        <w:footnoteRef/>
      </w:r>
      <w:r>
        <w:t xml:space="preserve"> S. 23.</w:t>
      </w:r>
    </w:p>
  </w:footnote>
  <w:footnote w:id="102">
    <w:p w:rsidR="009C6D65" w:rsidRDefault="009C6D65" w:rsidP="00033488">
      <w:pPr>
        <w:pStyle w:val="Funotentext"/>
      </w:pPr>
      <w:r>
        <w:rPr>
          <w:rStyle w:val="Funotenzeichen"/>
        </w:rPr>
        <w:footnoteRef/>
      </w:r>
      <w:r>
        <w:t xml:space="preserve"> </w:t>
      </w:r>
      <w:r>
        <w:rPr>
          <w:rFonts w:eastAsia="MS Mincho"/>
        </w:rPr>
        <w:t>Nach Andreas Heuslers deutscher Akzentmetrik (</w:t>
      </w:r>
      <w:r>
        <w:rPr>
          <w:rFonts w:eastAsia="MS Mincho"/>
          <w:i/>
          <w:iCs/>
        </w:rPr>
        <w:t>Deutsche Versgeschichte</w:t>
      </w:r>
      <w:r>
        <w:rPr>
          <w:rFonts w:eastAsia="MS Mincho"/>
        </w:rPr>
        <w:t xml:space="preserve">, 2 Bde., </w:t>
      </w:r>
      <w:r>
        <w:rPr>
          <w:rFonts w:eastAsia="MS Mincho"/>
          <w:vertAlign w:val="superscript"/>
        </w:rPr>
        <w:t>3</w:t>
      </w:r>
      <w:r>
        <w:rPr>
          <w:rFonts w:eastAsia="MS Mincho"/>
        </w:rPr>
        <w:t>1956) sind die dreihebigen Verse als ebenfalls vierhebige mit Pause zu verstehen.</w:t>
      </w:r>
    </w:p>
  </w:footnote>
  <w:footnote w:id="103">
    <w:p w:rsidR="009C6D65" w:rsidRDefault="009C6D65" w:rsidP="00033488">
      <w:pPr>
        <w:pStyle w:val="Funotentext"/>
      </w:pPr>
      <w:r>
        <w:rPr>
          <w:rStyle w:val="Funotenzeichen"/>
        </w:rPr>
        <w:footnoteRef/>
      </w:r>
      <w:r>
        <w:t xml:space="preserve"> </w:t>
      </w:r>
      <w:r>
        <w:rPr>
          <w:rFonts w:eastAsia="MS Mincho"/>
        </w:rPr>
        <w:t xml:space="preserve">Vgl. zu These und Antithese </w:t>
      </w:r>
      <w:r>
        <w:rPr>
          <w:rFonts w:eastAsia="MS Mincho"/>
          <w:i/>
          <w:iCs/>
        </w:rPr>
        <w:t>Speculum</w:t>
      </w:r>
      <w:r>
        <w:rPr>
          <w:rFonts w:eastAsia="MS Mincho"/>
        </w:rPr>
        <w:t>, S. 12.</w:t>
      </w:r>
    </w:p>
  </w:footnote>
  <w:footnote w:id="104">
    <w:p w:rsidR="009C6D65" w:rsidRDefault="009C6D65" w:rsidP="00033488">
      <w:pPr>
        <w:pStyle w:val="Funotentext"/>
      </w:pPr>
      <w:r>
        <w:rPr>
          <w:rStyle w:val="Funotenzeichen"/>
        </w:rPr>
        <w:footnoteRef/>
      </w:r>
      <w:r>
        <w:t xml:space="preserve"> S. 48.</w:t>
      </w:r>
    </w:p>
  </w:footnote>
  <w:footnote w:id="105">
    <w:p w:rsidR="009C6D65" w:rsidRDefault="009C6D65" w:rsidP="00033488">
      <w:pPr>
        <w:pStyle w:val="Funotentext"/>
      </w:pPr>
      <w:r>
        <w:rPr>
          <w:rStyle w:val="Funotenzeichen"/>
        </w:rPr>
        <w:footnoteRef/>
      </w:r>
      <w:r>
        <w:t xml:space="preserve"> </w:t>
      </w:r>
      <w:r>
        <w:rPr>
          <w:rFonts w:eastAsia="MS Mincho"/>
        </w:rPr>
        <w:t xml:space="preserve">Tradionell wird sie dem Bereich der Schäfer oder Bauern zugeordnet, wozu wiederum die dialektartigen Einschläge in Megerles Versen passen. Bemerkenswerterweise wird aber auch in zeitgenössischen Quellen von Predigten gefordert, dass sie inhaltlich und sprachlich volkstümlich sein sollen; (s. z.B. Christoph Ulrich Neuburger, </w:t>
      </w:r>
      <w:r>
        <w:rPr>
          <w:rFonts w:eastAsia="MS Mincho"/>
          <w:i/>
          <w:iCs/>
        </w:rPr>
        <w:t>Conciones rurales</w:t>
      </w:r>
      <w:r>
        <w:rPr>
          <w:rFonts w:eastAsia="MS Mincho"/>
        </w:rPr>
        <w:t>, 1659-1675). Die besten Beispiele dafür bieten die Predigten Abrahams a Sancta Clara, deren Reime oft große sprachliche Ähnlichkeiten mit Megerles Versen zeigen.</w:t>
      </w:r>
    </w:p>
  </w:footnote>
  <w:footnote w:id="106">
    <w:p w:rsidR="009C6D65" w:rsidRDefault="009C6D65" w:rsidP="00033488">
      <w:pPr>
        <w:pStyle w:val="Funotentext"/>
      </w:pPr>
      <w:r>
        <w:rPr>
          <w:rStyle w:val="Funotenzeichen"/>
        </w:rPr>
        <w:footnoteRef/>
      </w:r>
      <w:r>
        <w:t xml:space="preserve"> </w:t>
      </w:r>
      <w:r>
        <w:rPr>
          <w:rFonts w:eastAsia="MS Mincho"/>
        </w:rPr>
        <w:t xml:space="preserve">Hier liegt die Parallele zu zeitgenössischen Stilleben („natures mortes“) nahe, die in der Hierarchie der bildenden Künste ebenfalls als niedrige Gattung betrachtet werden und bevorzugterweise die Vanitasthematik umkreisen, indem sie irdische Schönheiten als zerbrechlich und gefährdet darstellen. Nur selten sind diese Anspielungen so deutlich, dass, wie in den Bildern des </w:t>
      </w:r>
      <w:r>
        <w:rPr>
          <w:rFonts w:eastAsia="MS Mincho"/>
          <w:i/>
          <w:iCs/>
        </w:rPr>
        <w:t>Speculum</w:t>
      </w:r>
      <w:r>
        <w:rPr>
          <w:rFonts w:eastAsia="MS Mincho"/>
        </w:rPr>
        <w:t xml:space="preserve">, Totenköpfe abgebildet werden. Dagegen erscheinen Blumen, Sanduhr und auch Musikinstrumente, die im </w:t>
      </w:r>
      <w:r>
        <w:rPr>
          <w:rFonts w:eastAsia="MS Mincho"/>
          <w:i/>
          <w:iCs/>
        </w:rPr>
        <w:t>Speculum</w:t>
      </w:r>
      <w:r>
        <w:rPr>
          <w:rFonts w:eastAsia="MS Mincho"/>
        </w:rPr>
        <w:t xml:space="preserve"> begegnen, häufig als Stillebenrequisiten der Vanitas.</w:t>
      </w:r>
    </w:p>
  </w:footnote>
  <w:footnote w:id="107">
    <w:p w:rsidR="009C6D65" w:rsidRDefault="009C6D65" w:rsidP="00033488">
      <w:pPr>
        <w:pStyle w:val="Funotentext"/>
      </w:pPr>
      <w:r>
        <w:rPr>
          <w:rStyle w:val="Funotenzeichen"/>
        </w:rPr>
        <w:footnoteRef/>
      </w:r>
      <w:r>
        <w:t xml:space="preserve"> </w:t>
      </w:r>
      <w:r>
        <w:rPr>
          <w:rFonts w:eastAsia="MS Mincho"/>
        </w:rPr>
        <w:t>Im Bild erscheint an ihrer Stelle eine „Schalmey“.</w:t>
      </w:r>
    </w:p>
  </w:footnote>
  <w:footnote w:id="108">
    <w:p w:rsidR="009C6D65" w:rsidRDefault="009C6D65" w:rsidP="00033488">
      <w:pPr>
        <w:pStyle w:val="Funotentext"/>
      </w:pPr>
      <w:r>
        <w:rPr>
          <w:rStyle w:val="Funotenzeichen"/>
        </w:rPr>
        <w:footnoteRef/>
      </w:r>
      <w:r>
        <w:t xml:space="preserve"> </w:t>
      </w:r>
      <w:r>
        <w:rPr>
          <w:rFonts w:eastAsia="MS Mincho"/>
        </w:rPr>
        <w:t>Im Bild erscheint an ihrer Stelle eine „Chythara“.</w:t>
      </w:r>
    </w:p>
  </w:footnote>
  <w:footnote w:id="109">
    <w:p w:rsidR="009C6D65" w:rsidRDefault="009C6D65" w:rsidP="00033488">
      <w:pPr>
        <w:pStyle w:val="Funotentext"/>
      </w:pPr>
      <w:r>
        <w:rPr>
          <w:rStyle w:val="Funotenzeichen"/>
        </w:rPr>
        <w:footnoteRef/>
      </w:r>
      <w:r>
        <w:t xml:space="preserve"> </w:t>
      </w:r>
      <w:r>
        <w:rPr>
          <w:rFonts w:eastAsia="MS Mincho"/>
        </w:rPr>
        <w:t>Verbindungen zu den Gedichten finden sich in den Bildern über folgende Worte: „loben“ (7), „mensura“ (9), „letzte Stund“ (10), „geschwigen“ (11), „singen“ (12), „vanitas“ (13).</w:t>
      </w:r>
    </w:p>
  </w:footnote>
  <w:footnote w:id="110">
    <w:p w:rsidR="009C6D65" w:rsidRDefault="009C6D65" w:rsidP="00033488">
      <w:pPr>
        <w:pStyle w:val="Funotentext"/>
      </w:pPr>
      <w:r>
        <w:rPr>
          <w:rStyle w:val="Funotenzeichen"/>
        </w:rPr>
        <w:footnoteRef/>
      </w:r>
      <w:r>
        <w:t xml:space="preserve"> </w:t>
      </w:r>
      <w:r>
        <w:rPr>
          <w:rFonts w:eastAsia="MS Mincho"/>
        </w:rPr>
        <w:t xml:space="preserve">Im </w:t>
      </w:r>
      <w:proofErr w:type="gramStart"/>
      <w:r>
        <w:rPr>
          <w:rFonts w:eastAsia="MS Mincho"/>
        </w:rPr>
        <w:t>einzelnen</w:t>
      </w:r>
      <w:proofErr w:type="gramEnd"/>
      <w:r>
        <w:rPr>
          <w:rFonts w:eastAsia="MS Mincho"/>
        </w:rPr>
        <w:t xml:space="preserve"> s. die fortlaufenden Einzelbemerkungen.</w:t>
      </w:r>
    </w:p>
  </w:footnote>
  <w:footnote w:id="111">
    <w:p w:rsidR="009C6D65" w:rsidRDefault="009C6D65" w:rsidP="00033488">
      <w:pPr>
        <w:pStyle w:val="Funotentext"/>
      </w:pPr>
      <w:r>
        <w:rPr>
          <w:rStyle w:val="Funotenzeichen"/>
        </w:rPr>
        <w:footnoteRef/>
      </w:r>
      <w:r>
        <w:t xml:space="preserve"> </w:t>
      </w:r>
      <w:r>
        <w:rPr>
          <w:rFonts w:eastAsia="MS Mincho"/>
        </w:rPr>
        <w:t>Zum Todestopos des verlöschenden Lichtes s. Koller (wie Anm. 41), S. 354.</w:t>
      </w:r>
    </w:p>
  </w:footnote>
  <w:footnote w:id="112">
    <w:p w:rsidR="009C6D65" w:rsidRDefault="009C6D65" w:rsidP="00033488">
      <w:pPr>
        <w:pStyle w:val="Funotentext"/>
      </w:pPr>
      <w:r>
        <w:rPr>
          <w:rStyle w:val="Funotenzeichen"/>
        </w:rPr>
        <w:footnoteRef/>
      </w:r>
      <w:r>
        <w:t xml:space="preserve"> </w:t>
      </w:r>
      <w:r>
        <w:rPr>
          <w:rFonts w:eastAsia="MS Mincho"/>
        </w:rPr>
        <w:t>Vgl. besonders die Gedichte Nr. 11 und 13.</w:t>
      </w:r>
    </w:p>
  </w:footnote>
  <w:footnote w:id="113">
    <w:p w:rsidR="009C6D65" w:rsidRDefault="009C6D65" w:rsidP="00033488">
      <w:pPr>
        <w:pStyle w:val="Funotentext"/>
      </w:pPr>
      <w:r>
        <w:rPr>
          <w:rStyle w:val="Funotenzeichen"/>
        </w:rPr>
        <w:footnoteRef/>
      </w:r>
      <w:r>
        <w:rPr>
          <w:lang w:val="it-IT"/>
        </w:rPr>
        <w:t xml:space="preserve"> </w:t>
      </w:r>
      <w:r>
        <w:rPr>
          <w:rFonts w:eastAsia="MS Mincho"/>
          <w:lang w:val="it-IT"/>
        </w:rPr>
        <w:t xml:space="preserve">In: </w:t>
      </w:r>
      <w:r>
        <w:rPr>
          <w:rFonts w:eastAsia="MS Mincho"/>
          <w:i/>
          <w:iCs/>
          <w:lang w:val="it-IT"/>
        </w:rPr>
        <w:t>Magnum opus musicum</w:t>
      </w:r>
      <w:r>
        <w:rPr>
          <w:rFonts w:eastAsia="MS Mincho"/>
          <w:lang w:val="it-IT"/>
        </w:rPr>
        <w:t xml:space="preserve">, alte Lasso-GA </w:t>
      </w:r>
      <w:proofErr w:type="gramStart"/>
      <w:r>
        <w:rPr>
          <w:rFonts w:eastAsia="MS Mincho"/>
          <w:lang w:val="it-IT"/>
        </w:rPr>
        <w:t>(</w:t>
      </w:r>
      <w:proofErr w:type="gramEnd"/>
      <w:r>
        <w:rPr>
          <w:rFonts w:eastAsia="MS Mincho"/>
          <w:lang w:val="it-IT"/>
        </w:rPr>
        <w:t xml:space="preserve">Hg. </w:t>
      </w:r>
      <w:r>
        <w:rPr>
          <w:rFonts w:eastAsia="MS Mincho"/>
        </w:rPr>
        <w:t>Franz Xaver Haberl), XV</w:t>
      </w:r>
      <w:proofErr w:type="gramStart"/>
      <w:r>
        <w:rPr>
          <w:rFonts w:eastAsia="MS Mincho"/>
        </w:rPr>
        <w:t>,151</w:t>
      </w:r>
      <w:proofErr w:type="gramEnd"/>
      <w:r>
        <w:rPr>
          <w:rFonts w:eastAsia="MS Mincho"/>
        </w:rPr>
        <w:t>, (Nr. 600 (414)).</w:t>
      </w:r>
    </w:p>
  </w:footnote>
  <w:footnote w:id="114">
    <w:p w:rsidR="009C6D65" w:rsidRDefault="009C6D65" w:rsidP="00033488">
      <w:pPr>
        <w:pStyle w:val="Funotentext"/>
      </w:pPr>
      <w:r>
        <w:rPr>
          <w:rStyle w:val="Funotenzeichen"/>
        </w:rPr>
        <w:footnoteRef/>
      </w:r>
      <w:r>
        <w:t xml:space="preserve"> </w:t>
      </w:r>
      <w:r>
        <w:rPr>
          <w:rFonts w:eastAsia="MS Mincho"/>
        </w:rPr>
        <w:t>S. 48, vgl. auch S. 38 und 43.</w:t>
      </w:r>
    </w:p>
  </w:footnote>
  <w:footnote w:id="115">
    <w:p w:rsidR="009C6D65" w:rsidRDefault="009C6D65" w:rsidP="00033488">
      <w:pPr>
        <w:pStyle w:val="Funotentext"/>
      </w:pPr>
      <w:r>
        <w:rPr>
          <w:rStyle w:val="Funotenzeichen"/>
        </w:rPr>
        <w:footnoteRef/>
      </w:r>
      <w:r>
        <w:t xml:space="preserve"> </w:t>
      </w:r>
      <w:r>
        <w:rPr>
          <w:rFonts w:eastAsia="MS Mincho"/>
        </w:rPr>
        <w:t>12ff. S.</w:t>
      </w:r>
    </w:p>
  </w:footnote>
  <w:footnote w:id="116">
    <w:p w:rsidR="009C6D65" w:rsidRDefault="009C6D65" w:rsidP="00033488">
      <w:pPr>
        <w:pStyle w:val="Funotentext"/>
      </w:pPr>
      <w:r>
        <w:rPr>
          <w:rStyle w:val="Funotenzeichen"/>
        </w:rPr>
        <w:footnoteRef/>
      </w:r>
      <w:r>
        <w:t xml:space="preserve"> </w:t>
      </w:r>
      <w:r>
        <w:rPr>
          <w:rFonts w:eastAsia="MS Mincho"/>
        </w:rPr>
        <w:t xml:space="preserve">S. dazu Jochen Becker, „Das Buch im Stilleben - das Stilleben im Buch“, in: </w:t>
      </w:r>
      <w:r>
        <w:rPr>
          <w:rFonts w:eastAsia="MS Mincho"/>
          <w:i/>
          <w:iCs/>
        </w:rPr>
        <w:t>Stilleben in Europa</w:t>
      </w:r>
      <w:r>
        <w:rPr>
          <w:rFonts w:eastAsia="MS Mincho"/>
        </w:rPr>
        <w:t>, hg. von Gerhard Langemeyer und Hans-Albert Peters, Münster 1979, S. 455ff.</w:t>
      </w:r>
    </w:p>
  </w:footnote>
  <w:footnote w:id="117">
    <w:p w:rsidR="009C6D65" w:rsidRDefault="009C6D65" w:rsidP="00033488">
      <w:pPr>
        <w:pStyle w:val="Funotentext"/>
      </w:pPr>
      <w:r>
        <w:rPr>
          <w:rStyle w:val="Funotenzeichen"/>
        </w:rPr>
        <w:footnoteRef/>
      </w:r>
      <w:r>
        <w:t xml:space="preserve"> </w:t>
      </w:r>
      <w:r>
        <w:rPr>
          <w:rFonts w:eastAsia="MS Mincho"/>
        </w:rPr>
        <w:t xml:space="preserve">Ein von Johannes Neuhardt und Gerhard Croll im Kärntener Kloster Maria Luggau entdecktes Gemälde des Salzburger Doms zu Megerles Zeit stellt sowohl Sänger als auch Instrumentalisten auf den Emporen als Engel dar. </w:t>
      </w:r>
      <w:r>
        <w:rPr>
          <w:rFonts w:eastAsia="MS Mincho"/>
          <w:b/>
          <w:bCs/>
        </w:rPr>
        <w:t>(Der Fund soll in nächster Zeit publiziert werden.+)</w:t>
      </w:r>
    </w:p>
  </w:footnote>
  <w:footnote w:id="118">
    <w:p w:rsidR="009C6D65" w:rsidRDefault="009C6D65" w:rsidP="00033488">
      <w:pPr>
        <w:pStyle w:val="Funotentext"/>
      </w:pPr>
      <w:r>
        <w:rPr>
          <w:rStyle w:val="Funotenzeichen"/>
        </w:rPr>
        <w:footnoteRef/>
      </w:r>
      <w:r>
        <w:t xml:space="preserve"> </w:t>
      </w:r>
      <w:r>
        <w:rPr>
          <w:rFonts w:eastAsia="MS Mincho"/>
        </w:rPr>
        <w:t xml:space="preserve">Die Frage, ob im Himmel eine reale Musik erklinge (oder nur der numerus als deren Idee) und ob diese nur vokal oder auch instrumental vorzustellen sei, wurde von den Kirchenvätern, der mittelalterlichen Ikonographie, Literatur (Dante) und Musiktheorie (Jacobus von Lüttich) und den katholischen Reformern seit dem 16. Jahrhundert durchaus kontrovers, vielfach auch inkonsequent beantwortet; s. dazu Reinhold Hammerstein, </w:t>
      </w:r>
      <w:r>
        <w:rPr>
          <w:rFonts w:eastAsia="MS Mincho"/>
          <w:i/>
          <w:iCs/>
        </w:rPr>
        <w:t>Die Musik der Engel. Untersuchungen zur Musikanschauung des Mittelalters</w:t>
      </w:r>
      <w:r>
        <w:rPr>
          <w:rFonts w:eastAsia="MS Mincho"/>
        </w:rPr>
        <w:t xml:space="preserve">, Bern/München 1962, S.34, 132ff., 177ff., 218ff., 254ff. Zu einer konservativ-negativen Beantwortung der Frage nach der himmlischen Instrumentalmusik kommt noch Anfang des 18. Jahrhunderts Johann Christoph Weigel, wenn er in seinem </w:t>
      </w:r>
      <w:r>
        <w:rPr>
          <w:rFonts w:eastAsia="MS Mincho"/>
          <w:i/>
          <w:iCs/>
        </w:rPr>
        <w:t>Musicalischen Theatrum</w:t>
      </w:r>
      <w:r>
        <w:rPr>
          <w:rFonts w:eastAsia="MS Mincho"/>
        </w:rPr>
        <w:t xml:space="preserve"> über „des Himmels Music-Art“ folgende Verse dichtet: „dort werden zweifels frey die Instrumente schweigen / wann sich zu Gottes Lob die zungen emsig zeigen.“ (Faks., Kassel 1961, Blatt 2).</w:t>
      </w:r>
    </w:p>
  </w:footnote>
  <w:footnote w:id="119">
    <w:p w:rsidR="009C6D65" w:rsidRDefault="009C6D65" w:rsidP="00033488">
      <w:pPr>
        <w:pStyle w:val="Funotentext"/>
      </w:pPr>
      <w:r>
        <w:rPr>
          <w:rStyle w:val="Funotenzeichen"/>
        </w:rPr>
        <w:footnoteRef/>
      </w:r>
      <w:r>
        <w:t xml:space="preserve"> </w:t>
      </w:r>
      <w:r>
        <w:rPr>
          <w:rFonts w:eastAsia="MS Mincho"/>
        </w:rPr>
        <w:t>S. 19. Megerle befindet sich mit dieser vorsichtigen Formulierung in Übereinstimmung mit der vorherrschenden patristischen und mystischen Tradition, für die die „irdische Musik als Verheißung und Vorgeschmack der einstigen Musik im Himmel“ gilt; Hammerstein (wie Anm. 119), S. 34.</w:t>
      </w:r>
    </w:p>
  </w:footnote>
  <w:footnote w:id="120">
    <w:p w:rsidR="009C6D65" w:rsidRDefault="009C6D65" w:rsidP="00033488">
      <w:pPr>
        <w:pStyle w:val="NurText"/>
        <w:jc w:val="both"/>
        <w:rPr>
          <w:rFonts w:ascii="Times New Roman" w:hAnsi="Times New Roman" w:cs="Times New Roman"/>
        </w:rPr>
      </w:pPr>
      <w:r>
        <w:rPr>
          <w:rStyle w:val="Funotenzeichen"/>
          <w:rFonts w:ascii="Times New Roman" w:hAnsi="Times New Roman" w:cs="Times New Roman"/>
        </w:rPr>
        <w:footnoteRef/>
      </w:r>
      <w:r>
        <w:rPr>
          <w:rFonts w:ascii="Times New Roman" w:hAnsi="Times New Roman" w:cs="Times New Roman"/>
        </w:rPr>
        <w:t xml:space="preserve"> </w:t>
      </w:r>
      <w:r>
        <w:rPr>
          <w:rFonts w:ascii="Times New Roman" w:eastAsia="MS Mincho" w:hAnsi="Times New Roman" w:cs="Times New Roman"/>
        </w:rPr>
        <w:t xml:space="preserve">S. 22. Dem neunzehnjährigen Megerle gab die Oberin des adeligen Damenstifts in Hall am Inn die Zusage einer künftigen Anstellung als Kapellmeister, s. </w:t>
      </w:r>
      <w:r>
        <w:rPr>
          <w:rFonts w:ascii="Times New Roman" w:eastAsia="MS Mincho" w:hAnsi="Times New Roman" w:cs="Times New Roman"/>
          <w:i/>
          <w:iCs/>
        </w:rPr>
        <w:t>Speculum</w:t>
      </w:r>
      <w:r>
        <w:rPr>
          <w:rFonts w:ascii="Times New Roman" w:eastAsia="MS Mincho" w:hAnsi="Times New Roman" w:cs="Times New Roman"/>
        </w:rPr>
        <w:t>, S. 9.</w:t>
      </w:r>
    </w:p>
  </w:footnote>
  <w:footnote w:id="121">
    <w:p w:rsidR="009C6D65" w:rsidRDefault="009C6D65" w:rsidP="00033488">
      <w:pPr>
        <w:pStyle w:val="Funotentext"/>
      </w:pPr>
      <w:r>
        <w:rPr>
          <w:rStyle w:val="Funotenzeichen"/>
        </w:rPr>
        <w:footnoteRef/>
      </w:r>
      <w:r>
        <w:t xml:space="preserve"> </w:t>
      </w:r>
      <w:r>
        <w:rPr>
          <w:rFonts w:eastAsia="MS Mincho"/>
        </w:rPr>
        <w:t xml:space="preserve">S. </w:t>
      </w:r>
      <w:proofErr w:type="gramStart"/>
      <w:r>
        <w:rPr>
          <w:rFonts w:eastAsia="MS Mincho"/>
        </w:rPr>
        <w:t>21f.;</w:t>
      </w:r>
      <w:proofErr w:type="gramEnd"/>
      <w:r>
        <w:rPr>
          <w:rFonts w:eastAsia="MS Mincho"/>
        </w:rPr>
        <w:t xml:space="preserve"> zu Megerles innovativer Tätigkeit in Salzburg s. P. Tenhaef, „Neue Hinweise zu den Salzburger Domorgeln und –emporen im 17. Jahrhundert“, </w:t>
      </w:r>
      <w:r>
        <w:rPr>
          <w:rFonts w:eastAsia="MS Mincho"/>
          <w:i/>
          <w:iCs/>
        </w:rPr>
        <w:t>Acta organologica</w:t>
      </w:r>
      <w:r>
        <w:rPr>
          <w:rFonts w:eastAsia="MS Mincho"/>
        </w:rPr>
        <w:t xml:space="preserve"> 23 (1994), S. 113-122, besonders S. 118ff.</w:t>
      </w:r>
    </w:p>
  </w:footnote>
  <w:footnote w:id="122">
    <w:p w:rsidR="009C6D65" w:rsidRDefault="009C6D65" w:rsidP="00033488">
      <w:pPr>
        <w:pStyle w:val="Funotentext"/>
      </w:pPr>
      <w:r>
        <w:rPr>
          <w:rStyle w:val="Funotenzeichen"/>
        </w:rPr>
        <w:footnoteRef/>
      </w:r>
      <w:r>
        <w:t xml:space="preserve"> Siehe oben???+</w:t>
      </w:r>
    </w:p>
  </w:footnote>
  <w:footnote w:id="123">
    <w:p w:rsidR="009C6D65" w:rsidRDefault="009C6D65" w:rsidP="00033488">
      <w:pPr>
        <w:pStyle w:val="Funotentext"/>
      </w:pPr>
      <w:r>
        <w:rPr>
          <w:rStyle w:val="Funotenzeichen"/>
        </w:rPr>
        <w:footnoteRef/>
      </w:r>
      <w:r>
        <w:t xml:space="preserve"> </w:t>
      </w:r>
      <w:r>
        <w:rPr>
          <w:rFonts w:eastAsia="MS Mincho"/>
        </w:rPr>
        <w:t xml:space="preserve">Michael Praetorius, </w:t>
      </w:r>
      <w:r>
        <w:rPr>
          <w:rFonts w:eastAsia="MS Mincho"/>
          <w:i/>
          <w:iCs/>
        </w:rPr>
        <w:t>Syntagma musicum</w:t>
      </w:r>
      <w:r>
        <w:rPr>
          <w:rFonts w:eastAsia="MS Mincho"/>
        </w:rPr>
        <w:t xml:space="preserve"> II, Wolfenbüttel 1619; Marin Mersenne, </w:t>
      </w:r>
      <w:r>
        <w:rPr>
          <w:rFonts w:eastAsia="MS Mincho"/>
          <w:i/>
          <w:iCs/>
        </w:rPr>
        <w:t>Harmonie universelle</w:t>
      </w:r>
      <w:r>
        <w:rPr>
          <w:rFonts w:eastAsia="MS Mincho"/>
        </w:rPr>
        <w:t xml:space="preserve">, Paris 1636/37; Athanasius Kircher, </w:t>
      </w:r>
      <w:r>
        <w:rPr>
          <w:rFonts w:eastAsia="MS Mincho"/>
          <w:i/>
          <w:iCs/>
        </w:rPr>
        <w:t>Musurgia universalis</w:t>
      </w:r>
      <w:r>
        <w:rPr>
          <w:rFonts w:eastAsia="MS Mincho"/>
        </w:rPr>
        <w:t>, Rom 1650, I</w:t>
      </w:r>
      <w:proofErr w:type="gramStart"/>
      <w:r>
        <w:rPr>
          <w:rFonts w:eastAsia="MS Mincho"/>
        </w:rPr>
        <w:t>,415ff</w:t>
      </w:r>
      <w:proofErr w:type="gramEnd"/>
      <w:r>
        <w:rPr>
          <w:rFonts w:eastAsia="MS Mincho"/>
        </w:rPr>
        <w:t>. = Liber sextus: Musica organica.</w:t>
      </w:r>
    </w:p>
  </w:footnote>
  <w:footnote w:id="124">
    <w:p w:rsidR="009C6D65" w:rsidRDefault="009C6D65" w:rsidP="00033488">
      <w:pPr>
        <w:pStyle w:val="Funotentext"/>
      </w:pPr>
      <w:r>
        <w:rPr>
          <w:rStyle w:val="Funotenzeichen"/>
        </w:rPr>
        <w:footnoteRef/>
      </w:r>
      <w:r>
        <w:t xml:space="preserve"> </w:t>
      </w:r>
      <w:r>
        <w:rPr>
          <w:rFonts w:eastAsia="MS Mincho"/>
        </w:rPr>
        <w:t xml:space="preserve">S. 9. Das Regal ist übrigens im </w:t>
      </w:r>
      <w:r>
        <w:rPr>
          <w:rFonts w:eastAsia="MS Mincho"/>
          <w:i/>
          <w:iCs/>
        </w:rPr>
        <w:t>Speculum</w:t>
      </w:r>
      <w:r>
        <w:rPr>
          <w:rFonts w:eastAsia="MS Mincho"/>
        </w:rPr>
        <w:t xml:space="preserve"> nicht eigens dargestellt, so dass Megerles tatsächlich gebrauchte Instrumente zum Teil noch über die hier dargestellten hinausgehen dürften.</w:t>
      </w:r>
    </w:p>
  </w:footnote>
  <w:footnote w:id="125">
    <w:p w:rsidR="009C6D65" w:rsidRDefault="009C6D65" w:rsidP="00033488">
      <w:pPr>
        <w:pStyle w:val="Funotentext"/>
      </w:pPr>
      <w:r>
        <w:rPr>
          <w:rStyle w:val="Funotenzeichen"/>
        </w:rPr>
        <w:footnoteRef/>
      </w:r>
      <w:r>
        <w:t xml:space="preserve"> S. 10f.</w:t>
      </w:r>
    </w:p>
  </w:footnote>
  <w:footnote w:id="126">
    <w:p w:rsidR="009C6D65" w:rsidRDefault="009C6D65" w:rsidP="00033488">
      <w:pPr>
        <w:pStyle w:val="Funotentext"/>
      </w:pPr>
      <w:r>
        <w:rPr>
          <w:rStyle w:val="Funotenzeichen"/>
        </w:rPr>
        <w:footnoteRef/>
      </w:r>
      <w:r>
        <w:t xml:space="preserve"> </w:t>
      </w:r>
      <w:r>
        <w:rPr>
          <w:rFonts w:eastAsia="MS Mincho"/>
        </w:rPr>
        <w:t xml:space="preserve">Veröffentlicht von Franz Waldner, „Zwei Inventarien aus dem XVI. und XVII. Jahrhundert über hinterlassene Musikinstrumente und Musikalien am Innsbrucker Hofe“, </w:t>
      </w:r>
      <w:r>
        <w:rPr>
          <w:rFonts w:eastAsia="MS Mincho"/>
          <w:i/>
          <w:iCs/>
        </w:rPr>
        <w:t xml:space="preserve">Studien zur Musikwissenschaft </w:t>
      </w:r>
      <w:r>
        <w:rPr>
          <w:rFonts w:eastAsia="MS Mincho"/>
        </w:rPr>
        <w:t>4 (1916), S. 129f.</w:t>
      </w:r>
    </w:p>
  </w:footnote>
  <w:footnote w:id="127">
    <w:p w:rsidR="009C6D65" w:rsidRDefault="009C6D65" w:rsidP="00033488">
      <w:pPr>
        <w:pStyle w:val="Funotentext"/>
      </w:pPr>
      <w:r>
        <w:rPr>
          <w:rStyle w:val="Funotenzeichen"/>
        </w:rPr>
        <w:footnoteRef/>
      </w:r>
      <w:r>
        <w:t xml:space="preserve"> </w:t>
      </w:r>
      <w:r>
        <w:rPr>
          <w:rFonts w:eastAsia="MS Mincho"/>
        </w:rPr>
        <w:t>Ebd., S. 131-133.</w:t>
      </w:r>
    </w:p>
  </w:footnote>
  <w:footnote w:id="128">
    <w:p w:rsidR="009C6D65" w:rsidRDefault="009C6D65" w:rsidP="00033488">
      <w:pPr>
        <w:pStyle w:val="Funotentext"/>
      </w:pPr>
      <w:r>
        <w:rPr>
          <w:rStyle w:val="Funotenzeichen"/>
        </w:rPr>
        <w:footnoteRef/>
      </w:r>
      <w:r>
        <w:t xml:space="preserve"> </w:t>
      </w:r>
      <w:r>
        <w:rPr>
          <w:rFonts w:eastAsia="MS Mincho"/>
          <w:i/>
          <w:iCs/>
        </w:rPr>
        <w:t>Speculum</w:t>
      </w:r>
      <w:r>
        <w:rPr>
          <w:rFonts w:eastAsia="MS Mincho"/>
        </w:rPr>
        <w:t>, S. 22.</w:t>
      </w:r>
    </w:p>
  </w:footnote>
  <w:footnote w:id="129">
    <w:p w:rsidR="009C6D65" w:rsidRDefault="009C6D65" w:rsidP="00033488">
      <w:pPr>
        <w:pStyle w:val="Funotentext"/>
      </w:pPr>
      <w:r>
        <w:rPr>
          <w:rStyle w:val="Funotenzeichen"/>
        </w:rPr>
        <w:footnoteRef/>
      </w:r>
      <w:r>
        <w:t xml:space="preserve"> </w:t>
      </w:r>
      <w:r>
        <w:rPr>
          <w:rFonts w:eastAsia="MS Mincho"/>
        </w:rPr>
        <w:t>S. Albert (wie Anm. 4), S. 25f. und 31.</w:t>
      </w:r>
    </w:p>
  </w:footnote>
  <w:footnote w:id="130">
    <w:p w:rsidR="009C6D65" w:rsidRDefault="009C6D65" w:rsidP="00033488">
      <w:pPr>
        <w:pStyle w:val="Funotentext"/>
      </w:pPr>
      <w:r>
        <w:rPr>
          <w:rStyle w:val="Funotenzeichen"/>
        </w:rPr>
        <w:footnoteRef/>
      </w:r>
      <w:r>
        <w:t xml:space="preserve"> </w:t>
      </w:r>
      <w:r>
        <w:rPr>
          <w:rFonts w:eastAsia="MS Mincho"/>
        </w:rPr>
        <w:t>Auch in Megerles Briefen taucht die Tromba marina gelegentlich auf; fragm. Brief von 1661, Brief vom 21.3.1669, Zoffingen, Konstanz, Faszikel Nr. 20.</w:t>
      </w:r>
    </w:p>
  </w:footnote>
  <w:footnote w:id="131">
    <w:p w:rsidR="009C6D65" w:rsidRDefault="009C6D65" w:rsidP="00033488">
      <w:pPr>
        <w:pStyle w:val="Funotentext"/>
      </w:pPr>
      <w:r>
        <w:rPr>
          <w:rStyle w:val="Funotenzeichen"/>
        </w:rPr>
        <w:footnoteRef/>
      </w:r>
      <w:r>
        <w:t xml:space="preserve"> </w:t>
      </w:r>
      <w:r>
        <w:rPr>
          <w:rFonts w:eastAsia="MS Mincho"/>
        </w:rPr>
        <w:t>S. 19.</w:t>
      </w:r>
    </w:p>
  </w:footnote>
  <w:footnote w:id="132">
    <w:p w:rsidR="009C6D65" w:rsidRDefault="009C6D65" w:rsidP="00033488">
      <w:pPr>
        <w:pStyle w:val="Funotentext"/>
      </w:pPr>
      <w:r>
        <w:rPr>
          <w:rStyle w:val="Funotenzeichen"/>
        </w:rPr>
        <w:footnoteRef/>
      </w:r>
      <w:r>
        <w:t xml:space="preserve"> </w:t>
      </w:r>
      <w:r>
        <w:rPr>
          <w:rFonts w:eastAsia="MS Mincho"/>
        </w:rPr>
        <w:t>Praetorius bezeugt 1619, dass es sich bei den Instrumenta Hieronymi um „jetziger zeit vnbekannte Instrumenta“ handelt, (wie Anm. 124), S. 76.</w:t>
      </w:r>
    </w:p>
  </w:footnote>
  <w:footnote w:id="133">
    <w:p w:rsidR="009C6D65" w:rsidRDefault="009C6D65" w:rsidP="00033488">
      <w:pPr>
        <w:pStyle w:val="Funotentext"/>
      </w:pPr>
      <w:r>
        <w:rPr>
          <w:rStyle w:val="Funotenzeichen"/>
        </w:rPr>
        <w:footnoteRef/>
      </w:r>
      <w:r>
        <w:t xml:space="preserve"> </w:t>
      </w:r>
      <w:r>
        <w:rPr>
          <w:rFonts w:eastAsia="MS Mincho"/>
        </w:rPr>
        <w:t xml:space="preserve">Die Saitenanordnung erscheint durchaus unpraktisch (im Gegensatz zum Harfenrahmen ohne Verkürzung); auch ist kein Resonanzraum erkennbar; s. dazu Wilhelm Stauder, </w:t>
      </w:r>
      <w:r>
        <w:rPr>
          <w:rFonts w:eastAsia="MS Mincho"/>
          <w:i/>
          <w:iCs/>
        </w:rPr>
        <w:t>Alte Musikinstrumente in ihrer vieltausendjährigen Entwicklung und Geschichte</w:t>
      </w:r>
      <w:r>
        <w:rPr>
          <w:rFonts w:eastAsia="MS Mincho"/>
        </w:rPr>
        <w:t>, Braunschweig 1973, S. 82f.</w:t>
      </w:r>
    </w:p>
  </w:footnote>
  <w:footnote w:id="134">
    <w:p w:rsidR="009C6D65" w:rsidRDefault="009C6D65" w:rsidP="00033488">
      <w:pPr>
        <w:pStyle w:val="Funotentext"/>
      </w:pPr>
      <w:r>
        <w:rPr>
          <w:rStyle w:val="Funotenzeichen"/>
        </w:rPr>
        <w:footnoteRef/>
      </w:r>
      <w:r>
        <w:rPr>
          <w:rFonts w:eastAsia="MS Mincho"/>
        </w:rPr>
        <w:t xml:space="preserve"> In Kirchers </w:t>
      </w:r>
      <w:r>
        <w:rPr>
          <w:rFonts w:eastAsia="MS Mincho"/>
          <w:i/>
          <w:iCs/>
        </w:rPr>
        <w:t>Musurgia universalis</w:t>
      </w:r>
      <w:r>
        <w:rPr>
          <w:rFonts w:eastAsia="MS Mincho"/>
        </w:rPr>
        <w:t>, Rom 1650, baut das ganze letzte Buch auf dem „Decachordon Naturae“ auf. Obwohl dies hier als Organon Decaulum verstanden wird, kommt Kircher am Schluss (II,462) - auch Megerles Psalter steht am geehrten Schlussplatz - auf den zehnsaitigen Psalter zurück: „... in decachordo psalterio psallam tibi, teque in saecula saeculorum laudem &amp; glorificem. Amen.“</w:t>
      </w:r>
      <w:r>
        <w:t xml:space="preserve"> </w:t>
      </w:r>
    </w:p>
  </w:footnote>
  <w:footnote w:id="135">
    <w:p w:rsidR="009C6D65" w:rsidRDefault="009C6D65" w:rsidP="00033488">
      <w:pPr>
        <w:pStyle w:val="Funotentext"/>
      </w:pPr>
      <w:r>
        <w:rPr>
          <w:rStyle w:val="Funotenzeichen"/>
        </w:rPr>
        <w:footnoteRef/>
      </w:r>
      <w:r>
        <w:t xml:space="preserve"> </w:t>
      </w:r>
      <w:r>
        <w:rPr>
          <w:rFonts w:eastAsia="MS Mincho"/>
        </w:rPr>
        <w:t>Die sechs klingenden Ringe könnten als die Schöpfungstage zu deuten sein, der Aufhängering (als Ruhepunkt in der Hand des Spielers) im Sinne des siebten Tages.</w:t>
      </w:r>
    </w:p>
  </w:footnote>
  <w:footnote w:id="136">
    <w:p w:rsidR="009C6D65" w:rsidRDefault="009C6D65" w:rsidP="00033488">
      <w:pPr>
        <w:pStyle w:val="Funotentext"/>
      </w:pPr>
      <w:r>
        <w:rPr>
          <w:rStyle w:val="Funotenzeichen"/>
        </w:rPr>
        <w:footnoteRef/>
      </w:r>
      <w:r>
        <w:t xml:space="preserve"> </w:t>
      </w:r>
      <w:r>
        <w:rPr>
          <w:rFonts w:eastAsia="MS Mincho"/>
        </w:rPr>
        <w:t>Hinsichtlich der praktischen Verwendung bleibt auch fraglich, wie ein Kapellmeister etwa die Sackpfeife und die Drehleier als Borduninstrumente zur polyphonen Musik einsetzte. Für ein Ensemble erscheint weiterhin die Verwendung des allzu leisen Clavichords fragwürdig - Megerle dürfte es eher als Organist zum Üben gebraucht haben -, ja selbst die von Heer- und Thürnerhorn, Zwerchpfeife, Gitarre und Cister („Zittern“).</w:t>
      </w:r>
    </w:p>
  </w:footnote>
  <w:footnote w:id="137">
    <w:p w:rsidR="009C6D65" w:rsidRDefault="009C6D65" w:rsidP="00033488">
      <w:pPr>
        <w:pStyle w:val="Funotentext"/>
      </w:pPr>
      <w:r>
        <w:rPr>
          <w:rStyle w:val="Funotenzeichen"/>
        </w:rPr>
        <w:footnoteRef/>
      </w:r>
      <w:r>
        <w:t xml:space="preserve"> </w:t>
      </w:r>
      <w:r>
        <w:rPr>
          <w:rFonts w:eastAsia="MS Mincho"/>
        </w:rPr>
        <w:t xml:space="preserve">S. 19. Zu den Instrumenten im </w:t>
      </w:r>
      <w:proofErr w:type="gramStart"/>
      <w:r>
        <w:rPr>
          <w:rFonts w:eastAsia="MS Mincho"/>
        </w:rPr>
        <w:t>einzelnen</w:t>
      </w:r>
      <w:proofErr w:type="gramEnd"/>
      <w:r>
        <w:rPr>
          <w:rFonts w:eastAsia="MS Mincho"/>
        </w:rPr>
        <w:t xml:space="preserve"> s. die Einzelbemerkungen.</w:t>
      </w:r>
    </w:p>
  </w:footnote>
  <w:footnote w:id="138">
    <w:p w:rsidR="009C6D65" w:rsidRDefault="009C6D65" w:rsidP="00033488">
      <w:pPr>
        <w:pStyle w:val="Funotentext"/>
      </w:pPr>
      <w:r>
        <w:rPr>
          <w:rStyle w:val="Funotenzeichen"/>
        </w:rPr>
        <w:footnoteRef/>
      </w:r>
      <w:r>
        <w:t xml:space="preserve"> </w:t>
      </w:r>
      <w:r>
        <w:rPr>
          <w:rFonts w:eastAsia="MS Mincho"/>
        </w:rPr>
        <w:t xml:space="preserve">= kraftgebende Plätzchen bzw. Lebkuchen; vgl. </w:t>
      </w:r>
      <w:r>
        <w:rPr>
          <w:rFonts w:eastAsia="MS Mincho"/>
          <w:i/>
          <w:iCs/>
        </w:rPr>
        <w:t>Grimms Deutsches Wörterbuch</w:t>
      </w:r>
      <w:r>
        <w:rPr>
          <w:rFonts w:eastAsia="MS Mincho"/>
        </w:rPr>
        <w:t>, V,1954 und VI,471.</w:t>
      </w:r>
    </w:p>
  </w:footnote>
  <w:footnote w:id="139">
    <w:p w:rsidR="009C6D65" w:rsidRDefault="009C6D65" w:rsidP="00033488">
      <w:pPr>
        <w:pStyle w:val="Funotentext"/>
      </w:pPr>
      <w:r>
        <w:rPr>
          <w:rStyle w:val="Funotenzeichen"/>
        </w:rPr>
        <w:footnoteRef/>
      </w:r>
      <w:r>
        <w:t xml:space="preserve"> </w:t>
      </w:r>
      <w:r>
        <w:rPr>
          <w:rFonts w:eastAsia="MS Mincho"/>
          <w:i/>
          <w:iCs/>
        </w:rPr>
        <w:t>Speculum</w:t>
      </w:r>
      <w:r>
        <w:rPr>
          <w:rFonts w:eastAsia="MS Mincho"/>
        </w:rPr>
        <w:t>, S. 14.</w:t>
      </w:r>
    </w:p>
  </w:footnote>
  <w:footnote w:id="140">
    <w:p w:rsidR="009C6D65" w:rsidRDefault="009C6D65" w:rsidP="00033488">
      <w:pPr>
        <w:pStyle w:val="Funotentext"/>
        <w:rPr>
          <w:lang w:val="en-GB"/>
        </w:rPr>
      </w:pPr>
      <w:r>
        <w:rPr>
          <w:rStyle w:val="Funotenzeichen"/>
        </w:rPr>
        <w:footnoteRef/>
      </w:r>
      <w:r>
        <w:t xml:space="preserve"> </w:t>
      </w:r>
      <w:r>
        <w:rPr>
          <w:rFonts w:eastAsia="MS Mincho"/>
        </w:rPr>
        <w:t xml:space="preserve">Vgl. </w:t>
      </w:r>
      <w:r>
        <w:rPr>
          <w:rFonts w:eastAsia="MS Mincho"/>
          <w:i/>
          <w:iCs/>
        </w:rPr>
        <w:t>Lexikon für Theologie und Kirche</w:t>
      </w:r>
      <w:r>
        <w:rPr>
          <w:rFonts w:eastAsia="MS Mincho"/>
        </w:rPr>
        <w:t xml:space="preserve">, Bd. </w:t>
      </w:r>
      <w:r>
        <w:rPr>
          <w:rFonts w:eastAsia="MS Mincho"/>
          <w:lang w:val="en-GB"/>
        </w:rPr>
        <w:t>V, Sp. 1124.</w:t>
      </w:r>
    </w:p>
  </w:footnote>
  <w:footnote w:id="141">
    <w:p w:rsidR="009C6D65" w:rsidRDefault="009C6D65" w:rsidP="00033488">
      <w:pPr>
        <w:pStyle w:val="Funotentext"/>
        <w:rPr>
          <w:lang w:val="en-GB"/>
        </w:rPr>
      </w:pPr>
      <w:r>
        <w:rPr>
          <w:rStyle w:val="Funotenzeichen"/>
        </w:rPr>
        <w:footnoteRef/>
      </w:r>
      <w:r>
        <w:rPr>
          <w:lang w:val="en-GB"/>
        </w:rPr>
        <w:t xml:space="preserve"> </w:t>
      </w:r>
      <w:r>
        <w:rPr>
          <w:rFonts w:eastAsia="MS Mincho"/>
          <w:i/>
          <w:iCs/>
          <w:lang w:val="en-GB"/>
        </w:rPr>
        <w:t>Speculum</w:t>
      </w:r>
      <w:r>
        <w:rPr>
          <w:rFonts w:eastAsia="MS Mincho"/>
          <w:lang w:val="en-GB"/>
        </w:rPr>
        <w:t>, S. 14.</w:t>
      </w:r>
    </w:p>
  </w:footnote>
  <w:footnote w:id="142">
    <w:p w:rsidR="009C6D65" w:rsidRPr="00033488" w:rsidRDefault="009C6D65" w:rsidP="00033488">
      <w:pPr>
        <w:pStyle w:val="Funotentext"/>
        <w:rPr>
          <w:lang w:val="en-US"/>
        </w:rPr>
      </w:pPr>
      <w:r>
        <w:rPr>
          <w:rStyle w:val="Funotenzeichen"/>
        </w:rPr>
        <w:footnoteRef/>
      </w:r>
      <w:r w:rsidRPr="00033488">
        <w:rPr>
          <w:lang w:val="en-US"/>
        </w:rPr>
        <w:t xml:space="preserve"> </w:t>
      </w:r>
      <w:proofErr w:type="gramStart"/>
      <w:r w:rsidRPr="00033488">
        <w:rPr>
          <w:rFonts w:eastAsia="MS Mincho"/>
          <w:lang w:val="en-US"/>
        </w:rPr>
        <w:t>Ebd.</w:t>
      </w:r>
      <w:proofErr w:type="gramEnd"/>
      <w:r w:rsidRPr="00033488">
        <w:rPr>
          <w:rFonts w:eastAsia="MS Mincho"/>
          <w:lang w:val="en-US"/>
        </w:rPr>
        <w:t xml:space="preserve"> S. 15.</w:t>
      </w:r>
    </w:p>
  </w:footnote>
  <w:footnote w:id="143">
    <w:p w:rsidR="009C6D65" w:rsidRDefault="009C6D65" w:rsidP="00033488">
      <w:pPr>
        <w:pStyle w:val="Funotentext"/>
      </w:pPr>
      <w:r>
        <w:rPr>
          <w:rStyle w:val="Funotenzeichen"/>
        </w:rPr>
        <w:footnoteRef/>
      </w:r>
      <w:r w:rsidRPr="009C6D65">
        <w:rPr>
          <w:lang w:val="en-US"/>
        </w:rPr>
        <w:t xml:space="preserve"> </w:t>
      </w:r>
      <w:proofErr w:type="gramStart"/>
      <w:r w:rsidRPr="009C6D65">
        <w:rPr>
          <w:rFonts w:eastAsia="MS Mincho"/>
          <w:lang w:val="en-US"/>
        </w:rPr>
        <w:t>Ebd.</w:t>
      </w:r>
      <w:proofErr w:type="gramEnd"/>
      <w:r w:rsidRPr="009C6D65">
        <w:rPr>
          <w:rFonts w:eastAsia="MS Mincho"/>
          <w:lang w:val="en-US"/>
        </w:rPr>
        <w:t xml:space="preserve"> S. 15. </w:t>
      </w:r>
      <w:r>
        <w:rPr>
          <w:rFonts w:eastAsia="MS Mincho"/>
        </w:rPr>
        <w:t xml:space="preserve">Derartige Parellelisierungen haben eine alte Tradition, die insbesondere im 16. Jahrhundert durch die Signaturenlehre weiter entfaltet wurde. Ein zeitgenössisches Pendant zu Megerles Heilkrautmystizismus bietet unter anderem J.R. Karsts Figurengedicht </w:t>
      </w:r>
      <w:r>
        <w:rPr>
          <w:rFonts w:eastAsia="MS Mincho"/>
          <w:i/>
          <w:iCs/>
        </w:rPr>
        <w:t xml:space="preserve">Waldfarn </w:t>
      </w:r>
      <w:r>
        <w:rPr>
          <w:rFonts w:eastAsia="MS Mincho"/>
        </w:rPr>
        <w:t>(</w:t>
      </w:r>
      <w:r>
        <w:rPr>
          <w:rFonts w:eastAsia="MS Mincho"/>
          <w:i/>
          <w:iCs/>
        </w:rPr>
        <w:t>Deutscher Dichtung Lust- und Schau-Platz</w:t>
      </w:r>
      <w:r>
        <w:rPr>
          <w:rFonts w:eastAsia="MS Mincho"/>
        </w:rPr>
        <w:t>, 1667), das nicht nur in seiner äußeren Form das im Titel genannte Heilkraut abbildet, sondern auch durch ein Anagramm auf Jesus als Brücke von der Vanitas zum ewigen Leben verweist.</w:t>
      </w:r>
    </w:p>
  </w:footnote>
  <w:footnote w:id="144">
    <w:p w:rsidR="009C6D65" w:rsidRDefault="009C6D65" w:rsidP="00033488">
      <w:pPr>
        <w:pStyle w:val="Funotentext"/>
      </w:pPr>
      <w:r>
        <w:rPr>
          <w:rStyle w:val="Funotenzeichen"/>
        </w:rPr>
        <w:footnoteRef/>
      </w:r>
      <w:r>
        <w:t xml:space="preserve"> </w:t>
      </w:r>
      <w:r>
        <w:rPr>
          <w:rFonts w:eastAsia="MS Mincho"/>
        </w:rPr>
        <w:t>S. dazu Koller (wie Anm. 41), S. 338ff. und 610.</w:t>
      </w:r>
    </w:p>
  </w:footnote>
  <w:footnote w:id="145">
    <w:p w:rsidR="009C6D65" w:rsidRDefault="009C6D65" w:rsidP="00033488">
      <w:pPr>
        <w:pStyle w:val="Funotentext"/>
      </w:pPr>
      <w:r>
        <w:rPr>
          <w:rStyle w:val="Funotenzeichen"/>
        </w:rPr>
        <w:footnoteRef/>
      </w:r>
      <w:r>
        <w:t xml:space="preserve"> </w:t>
      </w:r>
      <w:r>
        <w:rPr>
          <w:rFonts w:eastAsia="MS Mincho"/>
        </w:rPr>
        <w:t>Zu den einzelnen Blumendeutungen und den Quellen vgl. die Einzelbemerkungen.</w:t>
      </w:r>
    </w:p>
  </w:footnote>
  <w:footnote w:id="146">
    <w:p w:rsidR="009C6D65" w:rsidRDefault="009C6D65" w:rsidP="00033488">
      <w:pPr>
        <w:pStyle w:val="Funotentext"/>
      </w:pPr>
      <w:r>
        <w:rPr>
          <w:rStyle w:val="Funotenzeichen"/>
        </w:rPr>
        <w:footnoteRef/>
      </w:r>
      <w:r>
        <w:t xml:space="preserve"> </w:t>
      </w:r>
      <w:r>
        <w:rPr>
          <w:rFonts w:eastAsia="MS Mincho"/>
        </w:rPr>
        <w:t>Jedenfalls gibt ein Emblem von Gabriel Rollenhagen (</w:t>
      </w:r>
      <w:r>
        <w:rPr>
          <w:rFonts w:eastAsia="MS Mincho"/>
          <w:i/>
          <w:iCs/>
        </w:rPr>
        <w:t>Nucleus Emblematum</w:t>
      </w:r>
      <w:r>
        <w:rPr>
          <w:rFonts w:eastAsia="MS Mincho"/>
        </w:rPr>
        <w:t xml:space="preserve"> ..., Arnheim 1611, I, Nr. 21) einen Totenschädel wieder, aus welchem Ohren wachsen, dazu die Inscriptio: „Mors vitae initium.“</w:t>
      </w:r>
    </w:p>
  </w:footnote>
  <w:footnote w:id="147">
    <w:p w:rsidR="009C6D65" w:rsidRDefault="009C6D65" w:rsidP="00033488">
      <w:pPr>
        <w:pStyle w:val="Funotentext"/>
      </w:pPr>
      <w:r>
        <w:rPr>
          <w:rStyle w:val="Funotenzeichen"/>
        </w:rPr>
        <w:footnoteRef/>
      </w:r>
      <w:r>
        <w:t xml:space="preserve"> </w:t>
      </w:r>
      <w:r>
        <w:rPr>
          <w:rFonts w:eastAsia="MS Mincho"/>
        </w:rPr>
        <w:t>S. 20.</w:t>
      </w:r>
    </w:p>
  </w:footnote>
  <w:footnote w:id="148">
    <w:p w:rsidR="009C6D65" w:rsidRDefault="009C6D65" w:rsidP="00033488">
      <w:pPr>
        <w:pStyle w:val="Funotentext"/>
      </w:pPr>
      <w:r>
        <w:rPr>
          <w:rStyle w:val="Funotenzeichen"/>
        </w:rPr>
        <w:footnoteRef/>
      </w:r>
      <w:r>
        <w:t xml:space="preserve"> </w:t>
      </w:r>
      <w:r>
        <w:rPr>
          <w:rFonts w:eastAsia="MS Mincho"/>
        </w:rPr>
        <w:t xml:space="preserve">Abraham a Sancta Clara schreibt in seiner </w:t>
      </w:r>
      <w:r>
        <w:rPr>
          <w:rFonts w:eastAsia="MS Mincho"/>
          <w:i/>
          <w:iCs/>
        </w:rPr>
        <w:t xml:space="preserve">Epitome </w:t>
      </w:r>
      <w:r>
        <w:rPr>
          <w:rFonts w:eastAsia="MS Mincho"/>
        </w:rPr>
        <w:t xml:space="preserve">diese Neuerung Megerle zu, wie Anm. 4. S. 459; vgl. dazu Tenhaef, „Abraham Megerles Kanonkünste“ (wie Anm. 34), S. 17. In einer Totenbruderschaftspredigt nennt Abraham a Sancta Clara im Rahmen einer Solmisationsallegorese allerdings nur die Tonsilben „Vt Re Mi Fa Sol La“ (in: </w:t>
      </w:r>
      <w:r>
        <w:rPr>
          <w:rFonts w:eastAsia="MS Mincho"/>
          <w:i/>
          <w:iCs/>
        </w:rPr>
        <w:t>Neue Predigten von Abraham a Sancta Clara</w:t>
      </w:r>
      <w:r>
        <w:rPr>
          <w:rFonts w:eastAsia="MS Mincho"/>
        </w:rPr>
        <w:t>,  hg. von Karl Bertsche, Leipzig 1932,</w:t>
      </w:r>
      <w:r>
        <w:rPr>
          <w:rFonts w:eastAsia="MS Mincho"/>
          <w:sz w:val="24"/>
        </w:rPr>
        <w:t xml:space="preserve"> </w:t>
      </w:r>
      <w:r>
        <w:rPr>
          <w:rFonts w:eastAsia="MS Mincho"/>
        </w:rPr>
        <w:t xml:space="preserve">S. 24). - Die Anregung zu seiner </w:t>
      </w:r>
      <w:r>
        <w:rPr>
          <w:rFonts w:eastAsia="MS Mincho"/>
          <w:i/>
          <w:iCs/>
        </w:rPr>
        <w:t>Scala Musica Coelestis</w:t>
      </w:r>
      <w:r>
        <w:rPr>
          <w:rFonts w:eastAsia="MS Mincho"/>
        </w:rPr>
        <w:t xml:space="preserve"> könnte Megerle von Athanasius Kircher erhalten haben, den er auf einer Pilgerfahrt zum Heiligen Jahr 1650 in Rom vielleicht persönlich kennengelernt hatte. Ohne Zweifel kannte er aber seine im selben Jahr dort erschienene </w:t>
      </w:r>
      <w:r>
        <w:rPr>
          <w:rFonts w:eastAsia="MS Mincho"/>
          <w:i/>
          <w:iCs/>
        </w:rPr>
        <w:t>Musurgia universalis</w:t>
      </w:r>
      <w:r>
        <w:rPr>
          <w:rFonts w:eastAsia="MS Mincho"/>
        </w:rPr>
        <w:t>. Darin findet sich eine Passage, die, nachdem die „scala heptachordam“ zugrundegelegt wurde, die „gradus creationis rerum“ erklärt, und zwar vom tiefsten Ton, der die Engel darstellt, zum höchsten, der menschlichen Vernunft; die dazwischen liegenden Saiten symbolisieren die „sensibiles mundi gradus“, während Gott als „circulus omnia in uno“ zusammenfasst. (Kircher, II,446 (mit Schema), vgl. II,370ff. und II,390ff. auch Hirsch, S. 280f.) Ganz am Schluss seines Werkes greift Kircher die Tonleitermetapher noch in anderer Weise auf, indem er Gott bittet, dass er ävon einer Tugend zur andern / gleichsam als von Thon zu Thon fortgehe / endlichen zur Diapason [Oktave] aller Tugenden / und Erfüllung der gantzen Vollkommenheit gelangen möge“. (Hirsch, S. 375, entspricht Kircher, II</w:t>
      </w:r>
      <w:proofErr w:type="gramStart"/>
      <w:r>
        <w:rPr>
          <w:rFonts w:eastAsia="MS Mincho"/>
        </w:rPr>
        <w:t>,462</w:t>
      </w:r>
      <w:proofErr w:type="gramEnd"/>
      <w:r>
        <w:rPr>
          <w:rFonts w:eastAsia="MS Mincho"/>
        </w:rPr>
        <w:t xml:space="preserve">. Neben Kircher kommt als Anreger für Megerle der Münchner Hofkapellmeister Bernardino Borlasca in Betracht, der 1616 in Venedig eine </w:t>
      </w:r>
      <w:r>
        <w:rPr>
          <w:rFonts w:eastAsia="MS Mincho"/>
          <w:i/>
          <w:iCs/>
        </w:rPr>
        <w:t>Scala Iacob</w:t>
      </w:r>
      <w:r>
        <w:rPr>
          <w:rFonts w:eastAsia="MS Mincho"/>
        </w:rPr>
        <w:t xml:space="preserve"> veröffentlichte, </w:t>
      </w:r>
      <w:r>
        <w:rPr>
          <w:rFonts w:eastAsia="MS Mincho"/>
          <w:i/>
          <w:iCs/>
        </w:rPr>
        <w:t>octonis vocibus, et varijs instrumentis omnibus anni solemnitatibus decantanda ... opus sextum</w:t>
      </w:r>
      <w:r>
        <w:rPr>
          <w:rFonts w:eastAsia="MS Mincho"/>
        </w:rPr>
        <w:t xml:space="preserve">. Von Balthasar Marbach erschien bereits 1583 in St. Gallen eine </w:t>
      </w:r>
      <w:r>
        <w:rPr>
          <w:rFonts w:eastAsia="MS Mincho"/>
          <w:i/>
          <w:iCs/>
        </w:rPr>
        <w:t>Scala musicalis</w:t>
      </w:r>
      <w:r>
        <w:rPr>
          <w:rFonts w:eastAsia="MS Mincho"/>
        </w:rPr>
        <w:t>.</w:t>
      </w:r>
    </w:p>
  </w:footnote>
  <w:footnote w:id="149">
    <w:p w:rsidR="009C6D65" w:rsidRDefault="009C6D65" w:rsidP="00033488">
      <w:pPr>
        <w:pStyle w:val="Funotentext"/>
      </w:pPr>
      <w:r>
        <w:rPr>
          <w:rStyle w:val="Funotenzeichen"/>
        </w:rPr>
        <w:footnoteRef/>
      </w:r>
      <w:r>
        <w:t xml:space="preserve"> </w:t>
      </w:r>
      <w:r>
        <w:rPr>
          <w:rFonts w:eastAsia="MS Mincho"/>
        </w:rPr>
        <w:t>Diese Beobachtung verdanke ich Professor Dr. K.W. Niemöller.</w:t>
      </w:r>
    </w:p>
  </w:footnote>
  <w:footnote w:id="150">
    <w:p w:rsidR="009C6D65" w:rsidRDefault="009C6D65" w:rsidP="00033488">
      <w:pPr>
        <w:pStyle w:val="Funotentext"/>
      </w:pPr>
      <w:r>
        <w:rPr>
          <w:rStyle w:val="Funotenzeichen"/>
        </w:rPr>
        <w:footnoteRef/>
      </w:r>
      <w:r>
        <w:t xml:space="preserve"> </w:t>
      </w:r>
      <w:r>
        <w:rPr>
          <w:rFonts w:eastAsia="MS Mincho"/>
        </w:rPr>
        <w:t>Einer der Titel Mariens in der Lauretanischen Litanei.</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6B3D8F"/>
    <w:multiLevelType w:val="hybridMultilevel"/>
    <w:tmpl w:val="E264CEDA"/>
    <w:lvl w:ilvl="0" w:tplc="DBBA1876">
      <w:start w:val="9"/>
      <w:numFmt w:val="upperRoman"/>
      <w:lvlText w:val="%1."/>
      <w:lvlJc w:val="left"/>
      <w:pPr>
        <w:tabs>
          <w:tab w:val="num" w:pos="1409"/>
        </w:tabs>
        <w:ind w:left="1409" w:hanging="1125"/>
      </w:pPr>
      <w:rPr>
        <w:rFonts w:hint="default"/>
      </w:rPr>
    </w:lvl>
    <w:lvl w:ilvl="1" w:tplc="04070019" w:tentative="1">
      <w:start w:val="1"/>
      <w:numFmt w:val="lowerLetter"/>
      <w:lvlText w:val="%2."/>
      <w:lvlJc w:val="left"/>
      <w:pPr>
        <w:tabs>
          <w:tab w:val="num" w:pos="1364"/>
        </w:tabs>
        <w:ind w:left="1364" w:hanging="360"/>
      </w:pPr>
    </w:lvl>
    <w:lvl w:ilvl="2" w:tplc="0407001B" w:tentative="1">
      <w:start w:val="1"/>
      <w:numFmt w:val="lowerRoman"/>
      <w:lvlText w:val="%3."/>
      <w:lvlJc w:val="right"/>
      <w:pPr>
        <w:tabs>
          <w:tab w:val="num" w:pos="2084"/>
        </w:tabs>
        <w:ind w:left="2084" w:hanging="180"/>
      </w:pPr>
    </w:lvl>
    <w:lvl w:ilvl="3" w:tplc="0407000F" w:tentative="1">
      <w:start w:val="1"/>
      <w:numFmt w:val="decimal"/>
      <w:lvlText w:val="%4."/>
      <w:lvlJc w:val="left"/>
      <w:pPr>
        <w:tabs>
          <w:tab w:val="num" w:pos="2804"/>
        </w:tabs>
        <w:ind w:left="2804" w:hanging="360"/>
      </w:pPr>
    </w:lvl>
    <w:lvl w:ilvl="4" w:tplc="04070019" w:tentative="1">
      <w:start w:val="1"/>
      <w:numFmt w:val="lowerLetter"/>
      <w:lvlText w:val="%5."/>
      <w:lvlJc w:val="left"/>
      <w:pPr>
        <w:tabs>
          <w:tab w:val="num" w:pos="3524"/>
        </w:tabs>
        <w:ind w:left="3524" w:hanging="360"/>
      </w:pPr>
    </w:lvl>
    <w:lvl w:ilvl="5" w:tplc="0407001B" w:tentative="1">
      <w:start w:val="1"/>
      <w:numFmt w:val="lowerRoman"/>
      <w:lvlText w:val="%6."/>
      <w:lvlJc w:val="right"/>
      <w:pPr>
        <w:tabs>
          <w:tab w:val="num" w:pos="4244"/>
        </w:tabs>
        <w:ind w:left="4244" w:hanging="180"/>
      </w:pPr>
    </w:lvl>
    <w:lvl w:ilvl="6" w:tplc="0407000F" w:tentative="1">
      <w:start w:val="1"/>
      <w:numFmt w:val="decimal"/>
      <w:lvlText w:val="%7."/>
      <w:lvlJc w:val="left"/>
      <w:pPr>
        <w:tabs>
          <w:tab w:val="num" w:pos="4964"/>
        </w:tabs>
        <w:ind w:left="4964" w:hanging="360"/>
      </w:pPr>
    </w:lvl>
    <w:lvl w:ilvl="7" w:tplc="04070019" w:tentative="1">
      <w:start w:val="1"/>
      <w:numFmt w:val="lowerLetter"/>
      <w:lvlText w:val="%8."/>
      <w:lvlJc w:val="left"/>
      <w:pPr>
        <w:tabs>
          <w:tab w:val="num" w:pos="5684"/>
        </w:tabs>
        <w:ind w:left="5684" w:hanging="360"/>
      </w:pPr>
    </w:lvl>
    <w:lvl w:ilvl="8" w:tplc="0407001B" w:tentative="1">
      <w:start w:val="1"/>
      <w:numFmt w:val="lowerRoman"/>
      <w:lvlText w:val="%9."/>
      <w:lvlJc w:val="right"/>
      <w:pPr>
        <w:tabs>
          <w:tab w:val="num" w:pos="6404"/>
        </w:tabs>
        <w:ind w:left="640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A05"/>
    <w:rsid w:val="00022F4B"/>
    <w:rsid w:val="00033488"/>
    <w:rsid w:val="000B1423"/>
    <w:rsid w:val="002A4B92"/>
    <w:rsid w:val="003C0FA7"/>
    <w:rsid w:val="008C1843"/>
    <w:rsid w:val="00961D57"/>
    <w:rsid w:val="00996F1F"/>
    <w:rsid w:val="009C6D65"/>
    <w:rsid w:val="009E7E01"/>
    <w:rsid w:val="00A2115B"/>
    <w:rsid w:val="00C42A05"/>
    <w:rsid w:val="00E452D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33488"/>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NurText">
    <w:name w:val="Plain Text"/>
    <w:basedOn w:val="Standard"/>
    <w:link w:val="NurTextZchn"/>
    <w:semiHidden/>
    <w:rsid w:val="00033488"/>
    <w:rPr>
      <w:rFonts w:ascii="Courier New" w:hAnsi="Courier New" w:cs="Courier New"/>
      <w:sz w:val="20"/>
      <w:szCs w:val="20"/>
    </w:rPr>
  </w:style>
  <w:style w:type="character" w:customStyle="1" w:styleId="NurTextZchn">
    <w:name w:val="Nur Text Zchn"/>
    <w:basedOn w:val="Absatz-Standardschriftart"/>
    <w:link w:val="NurText"/>
    <w:semiHidden/>
    <w:rsid w:val="00033488"/>
    <w:rPr>
      <w:rFonts w:ascii="Courier New" w:eastAsia="Times New Roman" w:hAnsi="Courier New" w:cs="Courier New"/>
      <w:sz w:val="20"/>
      <w:szCs w:val="20"/>
      <w:lang w:eastAsia="de-DE"/>
    </w:rPr>
  </w:style>
  <w:style w:type="paragraph" w:styleId="Fuzeile">
    <w:name w:val="footer"/>
    <w:basedOn w:val="Standard"/>
    <w:link w:val="FuzeileZchn"/>
    <w:semiHidden/>
    <w:rsid w:val="00033488"/>
    <w:pPr>
      <w:tabs>
        <w:tab w:val="center" w:pos="4536"/>
        <w:tab w:val="right" w:pos="9072"/>
      </w:tabs>
    </w:pPr>
  </w:style>
  <w:style w:type="character" w:customStyle="1" w:styleId="FuzeileZchn">
    <w:name w:val="Fußzeile Zchn"/>
    <w:basedOn w:val="Absatz-Standardschriftart"/>
    <w:link w:val="Fuzeile"/>
    <w:semiHidden/>
    <w:rsid w:val="00033488"/>
    <w:rPr>
      <w:rFonts w:ascii="Times New Roman" w:eastAsia="Times New Roman" w:hAnsi="Times New Roman" w:cs="Times New Roman"/>
      <w:sz w:val="24"/>
      <w:szCs w:val="24"/>
      <w:lang w:eastAsia="de-DE"/>
    </w:rPr>
  </w:style>
  <w:style w:type="character" w:styleId="Seitenzahl">
    <w:name w:val="page number"/>
    <w:basedOn w:val="Absatz-Standardschriftart"/>
    <w:semiHidden/>
    <w:rsid w:val="00033488"/>
  </w:style>
  <w:style w:type="paragraph" w:styleId="Funotentext">
    <w:name w:val="footnote text"/>
    <w:basedOn w:val="Standard"/>
    <w:link w:val="FunotentextZchn"/>
    <w:semiHidden/>
    <w:rsid w:val="00033488"/>
    <w:rPr>
      <w:sz w:val="20"/>
      <w:szCs w:val="20"/>
    </w:rPr>
  </w:style>
  <w:style w:type="character" w:customStyle="1" w:styleId="FunotentextZchn">
    <w:name w:val="Fußnotentext Zchn"/>
    <w:basedOn w:val="Absatz-Standardschriftart"/>
    <w:link w:val="Funotentext"/>
    <w:semiHidden/>
    <w:rsid w:val="00033488"/>
    <w:rPr>
      <w:rFonts w:ascii="Times New Roman" w:eastAsia="Times New Roman" w:hAnsi="Times New Roman" w:cs="Times New Roman"/>
      <w:sz w:val="20"/>
      <w:szCs w:val="20"/>
      <w:lang w:eastAsia="de-DE"/>
    </w:rPr>
  </w:style>
  <w:style w:type="character" w:styleId="Funotenzeichen">
    <w:name w:val="footnote reference"/>
    <w:basedOn w:val="Absatz-Standardschriftart"/>
    <w:semiHidden/>
    <w:rsid w:val="00033488"/>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33488"/>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NurText">
    <w:name w:val="Plain Text"/>
    <w:basedOn w:val="Standard"/>
    <w:link w:val="NurTextZchn"/>
    <w:semiHidden/>
    <w:rsid w:val="00033488"/>
    <w:rPr>
      <w:rFonts w:ascii="Courier New" w:hAnsi="Courier New" w:cs="Courier New"/>
      <w:sz w:val="20"/>
      <w:szCs w:val="20"/>
    </w:rPr>
  </w:style>
  <w:style w:type="character" w:customStyle="1" w:styleId="NurTextZchn">
    <w:name w:val="Nur Text Zchn"/>
    <w:basedOn w:val="Absatz-Standardschriftart"/>
    <w:link w:val="NurText"/>
    <w:semiHidden/>
    <w:rsid w:val="00033488"/>
    <w:rPr>
      <w:rFonts w:ascii="Courier New" w:eastAsia="Times New Roman" w:hAnsi="Courier New" w:cs="Courier New"/>
      <w:sz w:val="20"/>
      <w:szCs w:val="20"/>
      <w:lang w:eastAsia="de-DE"/>
    </w:rPr>
  </w:style>
  <w:style w:type="paragraph" w:styleId="Fuzeile">
    <w:name w:val="footer"/>
    <w:basedOn w:val="Standard"/>
    <w:link w:val="FuzeileZchn"/>
    <w:semiHidden/>
    <w:rsid w:val="00033488"/>
    <w:pPr>
      <w:tabs>
        <w:tab w:val="center" w:pos="4536"/>
        <w:tab w:val="right" w:pos="9072"/>
      </w:tabs>
    </w:pPr>
  </w:style>
  <w:style w:type="character" w:customStyle="1" w:styleId="FuzeileZchn">
    <w:name w:val="Fußzeile Zchn"/>
    <w:basedOn w:val="Absatz-Standardschriftart"/>
    <w:link w:val="Fuzeile"/>
    <w:semiHidden/>
    <w:rsid w:val="00033488"/>
    <w:rPr>
      <w:rFonts w:ascii="Times New Roman" w:eastAsia="Times New Roman" w:hAnsi="Times New Roman" w:cs="Times New Roman"/>
      <w:sz w:val="24"/>
      <w:szCs w:val="24"/>
      <w:lang w:eastAsia="de-DE"/>
    </w:rPr>
  </w:style>
  <w:style w:type="character" w:styleId="Seitenzahl">
    <w:name w:val="page number"/>
    <w:basedOn w:val="Absatz-Standardschriftart"/>
    <w:semiHidden/>
    <w:rsid w:val="00033488"/>
  </w:style>
  <w:style w:type="paragraph" w:styleId="Funotentext">
    <w:name w:val="footnote text"/>
    <w:basedOn w:val="Standard"/>
    <w:link w:val="FunotentextZchn"/>
    <w:semiHidden/>
    <w:rsid w:val="00033488"/>
    <w:rPr>
      <w:sz w:val="20"/>
      <w:szCs w:val="20"/>
    </w:rPr>
  </w:style>
  <w:style w:type="character" w:customStyle="1" w:styleId="FunotentextZchn">
    <w:name w:val="Fußnotentext Zchn"/>
    <w:basedOn w:val="Absatz-Standardschriftart"/>
    <w:link w:val="Funotentext"/>
    <w:semiHidden/>
    <w:rsid w:val="00033488"/>
    <w:rPr>
      <w:rFonts w:ascii="Times New Roman" w:eastAsia="Times New Roman" w:hAnsi="Times New Roman" w:cs="Times New Roman"/>
      <w:sz w:val="20"/>
      <w:szCs w:val="20"/>
      <w:lang w:eastAsia="de-DE"/>
    </w:rPr>
  </w:style>
  <w:style w:type="character" w:styleId="Funotenzeichen">
    <w:name w:val="footnote reference"/>
    <w:basedOn w:val="Absatz-Standardschriftart"/>
    <w:semiHidden/>
    <w:rsid w:val="0003348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61</Pages>
  <Words>18651</Words>
  <Characters>117506</Characters>
  <Application>Microsoft Office Word</Application>
  <DocSecurity>0</DocSecurity>
  <Lines>979</Lines>
  <Paragraphs>271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135886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Tenhaef</dc:creator>
  <cp:keywords/>
  <dc:description/>
  <cp:lastModifiedBy>Peter Tenhaef</cp:lastModifiedBy>
  <cp:revision>7</cp:revision>
  <dcterms:created xsi:type="dcterms:W3CDTF">2011-10-11T12:27:00Z</dcterms:created>
  <dcterms:modified xsi:type="dcterms:W3CDTF">2011-10-12T07:39:00Z</dcterms:modified>
</cp:coreProperties>
</file>